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rPr>
      </w:pPr>
      <w:r>
        <w:rPr>
          <w:rFonts w:hint="eastAsia" w:ascii="黑体" w:hAnsi="黑体" w:eastAsia="黑体" w:cs="黑体"/>
          <w:sz w:val="36"/>
          <w:szCs w:val="36"/>
        </w:rPr>
        <w:t>中国共产党景德镇市直属机关工作委员会</w:t>
      </w:r>
    </w:p>
    <w:p>
      <w:pPr>
        <w:spacing w:line="360" w:lineRule="auto"/>
        <w:jc w:val="center"/>
        <w:rPr>
          <w:rFonts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21</w:t>
      </w:r>
      <w:r>
        <w:rPr>
          <w:rFonts w:hint="eastAsia" w:ascii="黑体" w:hAnsi="黑体" w:eastAsia="黑体" w:cs="黑体"/>
          <w:sz w:val="36"/>
          <w:szCs w:val="36"/>
        </w:rPr>
        <w:t>年度决算分析报告</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0"/>
          <w:szCs w:val="40"/>
        </w:rPr>
        <w:t xml:space="preserve"> </w:t>
      </w:r>
      <w:r>
        <w:rPr>
          <w:rFonts w:hint="eastAsia" w:ascii="仿宋_GB2312" w:hAnsi="仿宋_GB2312" w:eastAsia="仿宋_GB2312" w:cs="仿宋_GB2312"/>
          <w:b/>
          <w:bCs/>
          <w:sz w:val="32"/>
          <w:szCs w:val="32"/>
        </w:rPr>
        <w:t>一、景德镇市机关工委概况</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1．主要职能</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负责制定并组织实施市直机关党的建设规划，领导市直机关党的工作。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指导市直机关各级党组织抓好党的思想、组织作风建设和党员的教育管理。</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负责制定市直机关科级以下干部的理论培训计划；负责管理市直机关业余党校工作。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指导市直机关所属党组织实施对党员特别是党员领导干部的监督，及时向市委反映直属机关各部门（单位）领导班子和领导干部的情况。</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负责指导市直机关精神文明建设工作。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指导市直机关党组织配合行政领导做好思想政治工作及社会稳定工作。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负责审批所属机关党委、总支、支部的设置及其书记、副书记的任免工作。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领导所属机关党组织纪律检查工作，审理、批准科级以下党员及党组织违反党纪的处理决定。</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领导市直机关工会工委、团工委等群众组织的工作。</w:t>
      </w:r>
    </w:p>
    <w:p>
      <w:pPr>
        <w:pStyle w:val="1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承办市委、市政府交办的其他事项。</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2．机构情况</w:t>
      </w:r>
    </w:p>
    <w:p>
      <w:pPr>
        <w:widowControl/>
        <w:ind w:firstLine="600" w:firstLineChars="200"/>
        <w:jc w:val="left"/>
        <w:rPr>
          <w:rFonts w:ascii="宋体" w:hAnsi="宋体" w:eastAsia="宋体" w:cs="宋体"/>
          <w:color w:val="000000"/>
          <w:kern w:val="0"/>
          <w:sz w:val="30"/>
          <w:szCs w:val="30"/>
        </w:rPr>
      </w:pPr>
      <w:bookmarkStart w:id="0" w:name="YS060102"/>
      <w:r>
        <w:rPr>
          <w:rFonts w:hint="eastAsia" w:ascii="宋体" w:hAnsi="宋体" w:eastAsia="宋体" w:cs="宋体"/>
          <w:color w:val="000000"/>
          <w:kern w:val="0"/>
          <w:sz w:val="30"/>
          <w:szCs w:val="30"/>
        </w:rPr>
        <w:t>纳入本套部门决算汇编范围的单位共1个，景德镇市机关工委本级。</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3.人员情况</w:t>
      </w:r>
    </w:p>
    <w:p>
      <w:pPr>
        <w:ind w:firstLine="450" w:firstLineChars="150"/>
        <w:rPr>
          <w:rFonts w:ascii="宋体" w:hAnsi="宋体" w:eastAsia="宋体"/>
          <w:sz w:val="30"/>
          <w:szCs w:val="30"/>
        </w:rPr>
      </w:pPr>
      <w:r>
        <w:rPr>
          <w:rFonts w:hint="eastAsia" w:ascii="宋体" w:hAnsi="宋体" w:eastAsia="宋体"/>
          <w:sz w:val="30"/>
          <w:szCs w:val="30"/>
        </w:rPr>
        <w:t>本部门</w:t>
      </w:r>
      <w:r>
        <w:rPr>
          <w:rFonts w:hint="eastAsia" w:ascii="宋体" w:hAnsi="宋体" w:eastAsia="宋体"/>
          <w:sz w:val="30"/>
          <w:szCs w:val="30"/>
          <w:lang w:val="en-US" w:eastAsia="zh-CN"/>
        </w:rPr>
        <w:t>2021</w:t>
      </w:r>
      <w:r>
        <w:rPr>
          <w:rFonts w:hint="eastAsia" w:ascii="宋体" w:hAnsi="宋体" w:eastAsia="宋体"/>
          <w:sz w:val="30"/>
          <w:szCs w:val="30"/>
        </w:rPr>
        <w:t>年年末编制人数 1</w:t>
      </w:r>
      <w:r>
        <w:rPr>
          <w:rFonts w:hint="eastAsia" w:ascii="宋体" w:hAnsi="宋体" w:eastAsia="宋体"/>
          <w:sz w:val="30"/>
          <w:szCs w:val="30"/>
          <w:lang w:val="en-US" w:eastAsia="zh-CN"/>
        </w:rPr>
        <w:t>2</w:t>
      </w:r>
      <w:r>
        <w:rPr>
          <w:rFonts w:hint="eastAsia" w:ascii="宋体" w:hAnsi="宋体" w:eastAsia="宋体"/>
          <w:sz w:val="30"/>
          <w:szCs w:val="30"/>
        </w:rPr>
        <w:t xml:space="preserve"> 人，其中行政编制 1</w:t>
      </w:r>
      <w:r>
        <w:rPr>
          <w:rFonts w:hint="eastAsia" w:ascii="宋体" w:hAnsi="宋体" w:eastAsia="宋体"/>
          <w:sz w:val="30"/>
          <w:szCs w:val="30"/>
          <w:lang w:val="en-US" w:eastAsia="zh-CN"/>
        </w:rPr>
        <w:t>2</w:t>
      </w:r>
      <w:r>
        <w:rPr>
          <w:rFonts w:hint="eastAsia" w:ascii="宋体" w:hAnsi="宋体" w:eastAsia="宋体"/>
          <w:sz w:val="30"/>
          <w:szCs w:val="30"/>
        </w:rPr>
        <w:t xml:space="preserve"> 人，事业编制  0 人；年末实有人数   2</w:t>
      </w:r>
      <w:r>
        <w:rPr>
          <w:rFonts w:hint="eastAsia" w:ascii="宋体" w:hAnsi="宋体" w:eastAsia="宋体"/>
          <w:sz w:val="30"/>
          <w:szCs w:val="30"/>
          <w:lang w:val="en-US" w:eastAsia="zh-CN"/>
        </w:rPr>
        <w:t>2</w:t>
      </w:r>
      <w:r>
        <w:rPr>
          <w:rFonts w:hint="eastAsia" w:ascii="宋体" w:hAnsi="宋体" w:eastAsia="宋体"/>
          <w:sz w:val="30"/>
          <w:szCs w:val="30"/>
        </w:rPr>
        <w:t>人，其中在职人员 1</w:t>
      </w:r>
      <w:r>
        <w:rPr>
          <w:rFonts w:hint="eastAsia" w:ascii="宋体" w:hAnsi="宋体" w:eastAsia="宋体"/>
          <w:sz w:val="30"/>
          <w:szCs w:val="30"/>
          <w:lang w:val="en-US" w:eastAsia="zh-CN"/>
        </w:rPr>
        <w:t>2</w:t>
      </w:r>
      <w:r>
        <w:rPr>
          <w:rFonts w:hint="eastAsia" w:ascii="宋体" w:hAnsi="宋体" w:eastAsia="宋体"/>
          <w:sz w:val="30"/>
          <w:szCs w:val="30"/>
        </w:rPr>
        <w:t xml:space="preserve">人，离休人员  0人，退休人员 </w:t>
      </w:r>
      <w:r>
        <w:rPr>
          <w:rFonts w:hint="eastAsia" w:ascii="宋体" w:hAnsi="宋体" w:eastAsia="宋体"/>
          <w:sz w:val="30"/>
          <w:szCs w:val="30"/>
          <w:lang w:val="en-US" w:eastAsia="zh-CN"/>
        </w:rPr>
        <w:t>10</w:t>
      </w:r>
      <w:r>
        <w:rPr>
          <w:rFonts w:hint="eastAsia" w:ascii="宋体" w:hAnsi="宋体" w:eastAsia="宋体"/>
          <w:sz w:val="30"/>
          <w:szCs w:val="30"/>
        </w:rPr>
        <w:t xml:space="preserve"> 人；年末学生人数 0  人。</w:t>
      </w:r>
    </w:p>
    <w:p>
      <w:pPr>
        <w:numPr>
          <w:ilvl w:val="0"/>
          <w:numId w:val="2"/>
        </w:num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本年取得的主要事业成效</w:t>
      </w:r>
    </w:p>
    <w:p>
      <w:pPr>
        <w:pStyle w:val="5"/>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Microsoft YaHei UI" w:eastAsia="仿宋_GB2312" w:cstheme="minorBidi"/>
          <w:spacing w:val="6"/>
          <w:kern w:val="2"/>
          <w:sz w:val="32"/>
          <w:szCs w:val="32"/>
          <w:lang w:val="en-US" w:eastAsia="zh-CN" w:bidi="ar-SA"/>
        </w:rPr>
        <w:t>2021年，在市委坚强领导下，机关工委坚持以习近平新时代中国特色社会主义思想为指导，全力推进党建“三化”建设提质增效，在突出政治建设引领、夯实党建基础、服务中心大局、加强自身建设等方面取得了新的成效。</w:t>
      </w:r>
    </w:p>
    <w:p>
      <w:pPr>
        <w:pStyle w:val="5"/>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黑体" w:eastAsia="黑体"/>
          <w:sz w:val="32"/>
          <w:szCs w:val="32"/>
          <w:lang w:eastAsia="zh-CN"/>
        </w:rPr>
      </w:pPr>
      <w:r>
        <w:rPr>
          <w:rFonts w:hint="eastAsia" w:ascii="仿宋_GB2312" w:hAnsi="Microsoft YaHei UI" w:eastAsia="仿宋_GB2312" w:cstheme="minorBidi"/>
          <w:spacing w:val="6"/>
          <w:kern w:val="2"/>
          <w:sz w:val="32"/>
          <w:szCs w:val="32"/>
          <w:lang w:val="en-US" w:eastAsia="zh-CN" w:bidi="ar-SA"/>
        </w:rPr>
        <w:t>一年来，工委独立申评并成功入选第十六届江西省文明单位，先后被市委市政府评为2021年度市级文明单位、2020年度全市公共机构节能工作优秀单位、2020年度全市平安建设先进单位、景德镇市承办2021年全省旅游产业发展大会通报嘉奖单位和景德镇成功创建国家卫生城市集体三等功。在市委、市政府领导的高度重视和关心支持下，增设了市直机关党员教育服务中心（正科级全额拨款事业单位、5名事业编制），有力地解决了工委长期以来人员编制满足不了工作需要的实际问题。</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cs="楷体"/>
          <w:b/>
          <w:kern w:val="2"/>
          <w:sz w:val="32"/>
          <w:szCs w:val="32"/>
          <w:lang w:eastAsia="zh-CN"/>
        </w:rPr>
      </w:pPr>
      <w:r>
        <w:rPr>
          <w:rFonts w:hint="eastAsia" w:ascii="楷体_GB2312" w:eastAsia="楷体_GB2312" w:cs="楷体"/>
          <w:b/>
          <w:kern w:val="2"/>
          <w:sz w:val="32"/>
          <w:szCs w:val="32"/>
          <w:lang w:eastAsia="zh-CN"/>
        </w:rPr>
        <w:t>（一）</w:t>
      </w:r>
      <w:r>
        <w:rPr>
          <w:rFonts w:hint="eastAsia" w:ascii="楷体_GB2312" w:eastAsia="楷体_GB2312" w:cs="楷体"/>
          <w:b/>
          <w:kern w:val="2"/>
          <w:sz w:val="32"/>
          <w:szCs w:val="32"/>
          <w:lang w:val="en-US" w:eastAsia="zh-CN"/>
        </w:rPr>
        <w:t>聚焦政治“三力”，贯彻落实新思想</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rPr>
        <w:t>1.</w:t>
      </w:r>
      <w:r>
        <w:rPr>
          <w:rFonts w:hint="eastAsia" w:ascii="仿宋_GB2312" w:hAnsi="仿宋_GB2312" w:eastAsia="仿宋_GB2312" w:cs="仿宋_GB2312"/>
          <w:b/>
          <w:kern w:val="2"/>
          <w:sz w:val="32"/>
          <w:szCs w:val="32"/>
          <w:lang w:eastAsia="zh-CN"/>
        </w:rPr>
        <w:t>持续深学细悟。一是抓实工委理论学习中心组学习。</w:t>
      </w:r>
      <w:r>
        <w:rPr>
          <w:rFonts w:hint="eastAsia" w:ascii="仿宋_GB2312" w:hAnsi="Microsoft YaHei UI" w:eastAsia="仿宋_GB2312" w:cstheme="minorBidi"/>
          <w:spacing w:val="6"/>
          <w:kern w:val="2"/>
          <w:sz w:val="32"/>
          <w:szCs w:val="32"/>
          <w:lang w:val="en-US" w:eastAsia="zh-CN" w:bidi="ar-SA"/>
        </w:rPr>
        <w:t>以中心组学习、“三会一课”为载体，深入贯彻学习党的十九届六中全会精神和习近平总书记党史学习教育动员讲话、“七一”重要讲话精神和省、市党代会精神，引导大家深刻领会总书记重要讲话精神内涵，集思广益，凝聚共识。</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二是组织开展市直机关“党课开讲啦”活动。</w:t>
      </w:r>
      <w:r>
        <w:rPr>
          <w:rFonts w:hint="eastAsia" w:ascii="仿宋_GB2312" w:hAnsi="Microsoft YaHei UI" w:eastAsia="仿宋_GB2312" w:cstheme="minorBidi"/>
          <w:spacing w:val="6"/>
          <w:kern w:val="2"/>
          <w:sz w:val="32"/>
          <w:szCs w:val="32"/>
          <w:lang w:val="en-US" w:eastAsia="zh-CN" w:bidi="ar-SA"/>
        </w:rPr>
        <w:t>督促市直各级党组织书记自觉履行“第一责任人”职责，高质量组织党课开讲活动。目前市直各级党组织共组织党课1553场次，参与听讲党员3.6万人次，有330余名基层党组织书记带头讲党课，收到各类党课讲稿和PPT课件170余份。</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三是深入基层开展宣讲。</w:t>
      </w:r>
      <w:r>
        <w:rPr>
          <w:rFonts w:hint="eastAsia" w:ascii="仿宋_GB2312" w:hAnsi="Microsoft YaHei UI" w:eastAsia="仿宋_GB2312" w:cstheme="minorBidi"/>
          <w:spacing w:val="6"/>
          <w:kern w:val="2"/>
          <w:sz w:val="32"/>
          <w:szCs w:val="32"/>
          <w:lang w:val="en-US" w:eastAsia="zh-CN" w:bidi="ar-SA"/>
        </w:rPr>
        <w:t>组建有50名成员的市直机关党史宣讲团举办62场宣讲报告会，10000余人参加。</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rPr>
        <w:t>2.坚持政治统领。一是</w:t>
      </w:r>
      <w:r>
        <w:rPr>
          <w:rFonts w:hint="eastAsia" w:ascii="仿宋_GB2312" w:hAnsi="仿宋_GB2312" w:eastAsia="仿宋_GB2312" w:cs="仿宋_GB2312"/>
          <w:b/>
          <w:kern w:val="2"/>
          <w:sz w:val="32"/>
          <w:szCs w:val="32"/>
          <w:lang w:eastAsia="zh-CN"/>
        </w:rPr>
        <w:t>强化政治机关意识。</w:t>
      </w:r>
      <w:r>
        <w:rPr>
          <w:rFonts w:hint="eastAsia" w:ascii="仿宋_GB2312" w:hAnsi="Microsoft YaHei UI" w:eastAsia="仿宋_GB2312" w:cstheme="minorBidi"/>
          <w:spacing w:val="6"/>
          <w:kern w:val="2"/>
          <w:sz w:val="32"/>
          <w:szCs w:val="32"/>
          <w:lang w:val="en-US" w:eastAsia="zh-CN" w:bidi="ar-SA"/>
        </w:rPr>
        <w:t>工委班子牢固树立“责任担当”意识，不折不扣地落实主体责任，严明党的政治纪律和政治规矩；主要领导自觉履行“第一责任人”职责，做到重要工作亲自部署、重大问题亲自过问、重要环节亲自协调、重点事项亲自督办；班子成员严格履行“一岗双责”，强化风险防控和监督检查，不断提高政治判断力、政治领悟力、政治执行力。</w:t>
      </w:r>
      <w:r>
        <w:rPr>
          <w:rFonts w:hint="eastAsia" w:ascii="仿宋_GB2312" w:hAnsi="仿宋_GB2312" w:eastAsia="仿宋_GB2312" w:cs="仿宋_GB2312"/>
          <w:b/>
          <w:kern w:val="2"/>
          <w:sz w:val="32"/>
          <w:szCs w:val="32"/>
          <w:lang w:val="en-US" w:eastAsia="zh-CN"/>
        </w:rPr>
        <w:t>二是开展政治谈话。</w:t>
      </w:r>
      <w:r>
        <w:rPr>
          <w:rFonts w:hint="eastAsia" w:ascii="仿宋_GB2312" w:hAnsi="Microsoft YaHei UI" w:eastAsia="仿宋_GB2312" w:cstheme="minorBidi"/>
          <w:spacing w:val="6"/>
          <w:kern w:val="2"/>
          <w:sz w:val="32"/>
          <w:szCs w:val="32"/>
          <w:lang w:val="en-US" w:eastAsia="zh-CN" w:bidi="ar-SA"/>
        </w:rPr>
        <w:t>督促党员领导干部坚定理想信念，站稳人民立场，增强“四个意识”、坚定“四个自信”、做到“两个维护”，推动我委政治生态持续向上向好。</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rPr>
        <w:t>3.严格督查落实。一是全面压实意识形态工作责任制。</w:t>
      </w:r>
      <w:r>
        <w:rPr>
          <w:rFonts w:hint="eastAsia" w:ascii="仿宋_GB2312" w:hAnsi="Microsoft YaHei UI" w:eastAsia="仿宋_GB2312" w:cstheme="minorBidi"/>
          <w:spacing w:val="6"/>
          <w:kern w:val="2"/>
          <w:sz w:val="32"/>
          <w:szCs w:val="32"/>
          <w:lang w:val="en-US" w:eastAsia="zh-CN" w:bidi="ar-SA"/>
        </w:rPr>
        <w:t>制定《市直机关工委2021年意识形态工作方案》，把落实意识形态工作责任制列入市直党组织党建考核目标，对78家市直单位2020年度意识形态工作进行检查，发现的问题以书面形式进行反馈。</w:t>
      </w:r>
      <w:r>
        <w:rPr>
          <w:rFonts w:hint="eastAsia" w:ascii="仿宋_GB2312" w:hAnsi="仿宋_GB2312" w:eastAsia="仿宋_GB2312" w:cs="仿宋_GB2312"/>
          <w:b/>
          <w:kern w:val="2"/>
          <w:sz w:val="32"/>
          <w:szCs w:val="32"/>
          <w:lang w:val="en-US" w:eastAsia="zh-CN"/>
        </w:rPr>
        <w:t>二是严肃党内政治生活。</w:t>
      </w:r>
      <w:r>
        <w:rPr>
          <w:rFonts w:hint="eastAsia" w:ascii="仿宋_GB2312" w:hAnsi="Microsoft YaHei UI" w:eastAsia="仿宋_GB2312" w:cstheme="minorBidi"/>
          <w:spacing w:val="6"/>
          <w:kern w:val="2"/>
          <w:sz w:val="32"/>
          <w:szCs w:val="32"/>
          <w:lang w:val="en-US" w:eastAsia="zh-CN" w:bidi="ar-SA"/>
        </w:rPr>
        <w:t>严格贯彻执行《关于新形势下党内政治生活的若干准则》，对市直机关单位落实“三会一课”、民主评议党员、“双重”组织生活会等制度情况进行不定期抽查。推荐60名市直县处级领导干部认真做好2020年度县以上党和国家机关党员领导干部民主生活会督导工作；指导督促市直各级党组织认真召开组织生活会和民主评议党员工作。</w:t>
      </w:r>
      <w:r>
        <w:rPr>
          <w:rFonts w:hint="eastAsia" w:ascii="仿宋_GB2312" w:hAnsi="Microsoft YaHei UI" w:eastAsia="仿宋_GB2312" w:cstheme="minorBidi"/>
          <w:b/>
          <w:bCs/>
          <w:spacing w:val="6"/>
          <w:kern w:val="2"/>
          <w:sz w:val="32"/>
          <w:szCs w:val="32"/>
          <w:lang w:val="en-US" w:eastAsia="zh-CN" w:bidi="ar-SA"/>
        </w:rPr>
        <w:t>三是扎实做好中央和省、市委巡视反馈问题整改。</w:t>
      </w:r>
      <w:r>
        <w:rPr>
          <w:rFonts w:hint="eastAsia" w:ascii="仿宋_GB2312" w:hAnsi="Microsoft YaHei UI" w:eastAsia="仿宋_GB2312" w:cstheme="minorBidi"/>
          <w:spacing w:val="6"/>
          <w:kern w:val="2"/>
          <w:sz w:val="32"/>
          <w:szCs w:val="32"/>
          <w:lang w:val="en-US" w:eastAsia="zh-CN" w:bidi="ar-SA"/>
        </w:rPr>
        <w:t>按照中央和省、市委相关通知要求，全面加强组织领导，及时开会专题研究，认真制定工作方案，细化整改措施，明确责任分工，按照方案进行逐项整改，整改工作有力有序扎实推进并取得阶段性成果。</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Microsoft YaHei UI" w:eastAsia="仿宋_GB2312" w:cstheme="minorBidi"/>
          <w:spacing w:val="6"/>
          <w:kern w:val="2"/>
          <w:sz w:val="32"/>
          <w:szCs w:val="32"/>
          <w:lang w:val="en-US" w:eastAsia="zh-CN" w:bidi="ar-SA"/>
        </w:rPr>
      </w:pPr>
      <w:r>
        <w:rPr>
          <w:rFonts w:hint="eastAsia" w:ascii="楷体_GB2312" w:eastAsia="楷体_GB2312" w:cs="楷体" w:hAnsiTheme="minorHAnsi"/>
          <w:b/>
          <w:kern w:val="2"/>
          <w:sz w:val="32"/>
          <w:szCs w:val="32"/>
          <w:lang w:val="en-US" w:eastAsia="zh-CN" w:bidi="ar-SA"/>
        </w:rPr>
        <w:t>（二）</w:t>
      </w:r>
      <w:r>
        <w:rPr>
          <w:rFonts w:hint="eastAsia" w:ascii="楷体_GB2312" w:eastAsia="楷体_GB2312" w:cs="楷体"/>
          <w:b/>
          <w:kern w:val="2"/>
          <w:sz w:val="32"/>
          <w:szCs w:val="32"/>
        </w:rPr>
        <w:t>聚焦</w:t>
      </w:r>
      <w:r>
        <w:rPr>
          <w:rFonts w:hint="eastAsia" w:ascii="楷体_GB2312" w:eastAsia="楷体_GB2312" w:cs="楷体"/>
          <w:b/>
          <w:kern w:val="2"/>
          <w:sz w:val="32"/>
          <w:szCs w:val="32"/>
          <w:lang w:eastAsia="zh-CN"/>
        </w:rPr>
        <w:t>党史学习教育</w:t>
      </w:r>
      <w:r>
        <w:rPr>
          <w:rFonts w:hint="eastAsia" w:ascii="楷体_GB2312" w:eastAsia="楷体_GB2312" w:cs="楷体"/>
          <w:b/>
          <w:kern w:val="2"/>
          <w:sz w:val="32"/>
          <w:szCs w:val="32"/>
        </w:rPr>
        <w:t>，感恩奋进再出发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rPr>
        <w:t>1.精心谋划统筹部署。</w:t>
      </w:r>
      <w:r>
        <w:rPr>
          <w:rFonts w:hint="eastAsia" w:ascii="仿宋_GB2312" w:hAnsi="Microsoft YaHei UI" w:eastAsia="仿宋_GB2312" w:cstheme="minorBidi"/>
          <w:spacing w:val="6"/>
          <w:kern w:val="2"/>
          <w:sz w:val="32"/>
          <w:szCs w:val="32"/>
          <w:lang w:val="en-US" w:eastAsia="zh-CN" w:bidi="ar-SA"/>
        </w:rPr>
        <w:t>制定《市直机关工委党史学习教育实施方案》《市直机关工委“我为群众办实事”实践活动实施方案》，选派10名同志到市委党史学习教育指导组开展工作，加强对工委机关和市直机关学习教育的督促指导。</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rPr>
        <w:t>2.学深悟透弄懂做实。</w:t>
      </w:r>
      <w:r>
        <w:rPr>
          <w:rFonts w:hint="eastAsia" w:ascii="仿宋_GB2312" w:hAnsi="Microsoft YaHei UI" w:eastAsia="仿宋_GB2312" w:cstheme="minorBidi"/>
          <w:spacing w:val="6"/>
          <w:kern w:val="2"/>
          <w:sz w:val="32"/>
          <w:szCs w:val="32"/>
          <w:lang w:val="en-US" w:eastAsia="zh-CN" w:bidi="ar-SA"/>
        </w:rPr>
        <w:t>积极开展“十个一”系列学习活动，组织543名发展对象和120余名专职党务干部开展党史专题集中研讨、知识测试；组织220余名新党员进行集体宣誓。举办全市机关“传承红色基因  凝聚奋进力量”学党史庆七一活动、“学党史、悟初心、品文化”书画大赛、等庆祝建党100周年系列活动，并为老党员代表颁发“光荣在党50年”纪念章。</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rPr>
        <w:t>3.我为群众办实事。</w:t>
      </w:r>
      <w:r>
        <w:rPr>
          <w:rFonts w:hint="eastAsia" w:ascii="仿宋_GB2312" w:hAnsi="Microsoft YaHei UI" w:eastAsia="仿宋_GB2312" w:cstheme="minorBidi"/>
          <w:spacing w:val="6"/>
          <w:kern w:val="2"/>
          <w:sz w:val="32"/>
          <w:szCs w:val="32"/>
          <w:lang w:val="en-US" w:eastAsia="zh-CN" w:bidi="ar-SA"/>
        </w:rPr>
        <w:t>广泛开展“为群众办实事”活动，组织市直机关工委全体党员干部赴江村乡严台村、老厂社区等基层开展助农采茶、赠送学习资料、指导打造党建品牌、基层社会治理、疫情防控等主题党日活动。开设“市直机关党史学习教育”“我为群众办实事实践活动”专栏，共刊登合辑12期，报道市直各级党组织学习教育好做法、先进典型和心得体会431条。</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cs="楷体" w:hAnsiTheme="minorHAnsi"/>
          <w:b/>
          <w:kern w:val="2"/>
          <w:sz w:val="32"/>
          <w:szCs w:val="32"/>
          <w:lang w:val="en-US" w:eastAsia="zh-CN" w:bidi="ar-SA"/>
        </w:rPr>
      </w:pPr>
      <w:r>
        <w:rPr>
          <w:rFonts w:hint="eastAsia" w:ascii="楷体_GB2312" w:eastAsia="楷体_GB2312" w:cs="楷体" w:hAnsiTheme="minorHAnsi"/>
          <w:b/>
          <w:kern w:val="2"/>
          <w:sz w:val="32"/>
          <w:szCs w:val="32"/>
          <w:lang w:val="en-US" w:eastAsia="zh-CN" w:bidi="ar-SA"/>
        </w:rPr>
        <w:t>（三）聚焦主责主业，守正创新开新局</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1.抓党建“三化”提升基层组织力。</w:t>
      </w:r>
      <w:r>
        <w:rPr>
          <w:rFonts w:hint="eastAsia" w:ascii="仿宋_GB2312" w:hAnsi="Microsoft YaHei UI" w:eastAsia="仿宋_GB2312" w:cstheme="minorBidi"/>
          <w:spacing w:val="6"/>
          <w:kern w:val="2"/>
          <w:sz w:val="32"/>
          <w:szCs w:val="32"/>
          <w:lang w:val="en-US" w:eastAsia="zh-CN" w:bidi="ar-SA"/>
        </w:rPr>
        <w:t>持续推动机关党建“三化”建设提质增效，督促任期已满和超任期未换届的12家机关党组织换届。强力推动机关纪委（纪检委员）的设立，应建尽建。共调整党组织26个，批复和指导9家单位进行换届选举，升格党总支1个，新调整直属党组织书记5名(均由各单位分管组织人事工作的班子成员担任)，充实优化委员15名，新考察提拔专职副书记6名。共举办3期党员发展对象培训班，培训学员543名，发展新党员489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楷体_GB2312" w:hAnsi="仿宋_GB2312" w:eastAsia="楷体_GB2312" w:cs="仿宋_GB2312"/>
          <w:bCs/>
          <w:kern w:val="2"/>
          <w:sz w:val="32"/>
          <w:szCs w:val="32"/>
        </w:rPr>
      </w:pPr>
      <w:r>
        <w:rPr>
          <w:rFonts w:hint="eastAsia" w:ascii="仿宋_GB2312" w:hAnsi="仿宋_GB2312" w:eastAsia="仿宋_GB2312" w:cs="仿宋_GB2312"/>
          <w:b/>
          <w:kern w:val="2"/>
          <w:sz w:val="32"/>
          <w:szCs w:val="32"/>
          <w:lang w:val="en-US" w:eastAsia="zh-CN" w:bidi="ar-SA"/>
        </w:rPr>
        <w:t>2.抓主责主业提升基层组织力。</w:t>
      </w:r>
      <w:r>
        <w:rPr>
          <w:rFonts w:hint="eastAsia" w:ascii="楷体_GB2312" w:eastAsia="楷体_GB2312" w:cs="楷体"/>
          <w:b/>
          <w:kern w:val="2"/>
          <w:sz w:val="32"/>
          <w:szCs w:val="32"/>
          <w:lang w:eastAsia="zh-CN"/>
        </w:rPr>
        <w:t>一是</w:t>
      </w:r>
      <w:r>
        <w:rPr>
          <w:rFonts w:hint="eastAsia" w:ascii="仿宋_GB2312" w:hAnsi="仿宋_GB2312" w:eastAsia="仿宋_GB2312" w:cs="仿宋_GB2312"/>
          <w:b/>
          <w:sz w:val="32"/>
          <w:szCs w:val="32"/>
        </w:rPr>
        <w:t>履职尽责抓基层党建。</w:t>
      </w:r>
      <w:r>
        <w:rPr>
          <w:rFonts w:hint="eastAsia" w:ascii="仿宋_GB2312" w:hAnsi="Microsoft YaHei UI" w:eastAsia="仿宋_GB2312" w:cstheme="minorBidi"/>
          <w:spacing w:val="6"/>
          <w:kern w:val="2"/>
          <w:sz w:val="32"/>
          <w:szCs w:val="32"/>
          <w:lang w:val="en-US" w:eastAsia="zh-CN" w:bidi="ar-SA"/>
        </w:rPr>
        <w:t>认真组织73个市直单位的党组（党委）书记参加述职和相互评议，同时，组织40个市直单位机关党委（党总支）专职副书记书面述职。</w:t>
      </w:r>
      <w:r>
        <w:rPr>
          <w:rFonts w:hint="eastAsia" w:ascii="仿宋_GB2312" w:hAnsi="仿宋_GB2312" w:eastAsia="仿宋_GB2312" w:cs="仿宋_GB2312"/>
          <w:b/>
          <w:sz w:val="32"/>
          <w:szCs w:val="32"/>
          <w:lang w:eastAsia="zh-CN"/>
        </w:rPr>
        <w:t>二是积极开展创先争优</w:t>
      </w:r>
      <w:r>
        <w:rPr>
          <w:rFonts w:hint="eastAsia" w:ascii="仿宋_GB2312" w:hAnsi="仿宋_GB2312" w:eastAsia="仿宋_GB2312" w:cs="仿宋_GB2312"/>
          <w:b/>
          <w:sz w:val="32"/>
          <w:szCs w:val="32"/>
        </w:rPr>
        <w:t>。</w:t>
      </w:r>
      <w:r>
        <w:rPr>
          <w:rFonts w:hint="eastAsia" w:ascii="仿宋_GB2312" w:hAnsi="Microsoft YaHei UI" w:eastAsia="仿宋_GB2312" w:cstheme="minorBidi"/>
          <w:spacing w:val="6"/>
          <w:kern w:val="2"/>
          <w:sz w:val="32"/>
          <w:szCs w:val="32"/>
          <w:lang w:val="en-US" w:eastAsia="zh-CN" w:bidi="ar-SA"/>
        </w:rPr>
        <w:t>入选“新时代赣鄱先锋”2名，入选全省“两优一先”代表2名，全市“两优一先”代表11名。</w:t>
      </w:r>
      <w:r>
        <w:rPr>
          <w:rFonts w:hint="eastAsia" w:ascii="仿宋_GB2312" w:hAnsi="仿宋_GB2312" w:eastAsia="仿宋_GB2312" w:cs="仿宋_GB2312"/>
          <w:b/>
          <w:sz w:val="32"/>
          <w:szCs w:val="32"/>
          <w:lang w:eastAsia="zh-CN"/>
        </w:rPr>
        <w:t>三是不断强化党内关怀。</w:t>
      </w:r>
      <w:r>
        <w:rPr>
          <w:rFonts w:hint="eastAsia" w:ascii="仿宋_GB2312" w:hAnsi="Microsoft YaHei UI" w:eastAsia="仿宋_GB2312" w:cstheme="minorBidi"/>
          <w:spacing w:val="6"/>
          <w:kern w:val="2"/>
          <w:sz w:val="32"/>
          <w:szCs w:val="32"/>
          <w:lang w:val="en-US" w:eastAsia="zh-CN" w:bidi="ar-SA"/>
        </w:rPr>
        <w:t>配套下拨30.7万元走访慰问68个单位587名困难党员，指导督促颁发“光荣在党50年”纪念章924枚，审核返还离退休支部党费28926元。</w:t>
      </w:r>
      <w:r>
        <w:rPr>
          <w:rFonts w:hint="eastAsia" w:ascii="仿宋_GB2312" w:hAnsi="仿宋_GB2312" w:eastAsia="仿宋_GB2312" w:cs="仿宋_GB2312"/>
          <w:b/>
          <w:sz w:val="32"/>
          <w:szCs w:val="32"/>
          <w:lang w:val="en-US" w:eastAsia="zh-CN"/>
        </w:rPr>
        <w:t>四是进一步深化党建督查。</w:t>
      </w:r>
      <w:r>
        <w:rPr>
          <w:rFonts w:hint="eastAsia" w:ascii="仿宋_GB2312" w:hAnsi="Microsoft YaHei UI" w:eastAsia="仿宋_GB2312" w:cstheme="minorBidi"/>
          <w:spacing w:val="6"/>
          <w:kern w:val="2"/>
          <w:sz w:val="32"/>
          <w:szCs w:val="32"/>
          <w:lang w:val="en-US" w:eastAsia="zh-CN" w:bidi="ar-SA"/>
        </w:rPr>
        <w:t>11月下旬至12月上旬组建三个督查组，对30个市直机关、企事业单位开展市直机关基层党建“三化”建设督查暨基层党建联合督查“回头看”，面对面向各单位反馈工作亮点、存在的不足和薄弱环节，并提出工作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Microsoft YaHei UI" w:eastAsia="仿宋_GB2312" w:cstheme="minorBidi"/>
          <w:spacing w:val="6"/>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3.抓中心工作提升基层组织力。</w:t>
      </w:r>
      <w:r>
        <w:rPr>
          <w:rFonts w:hint="eastAsia" w:ascii="楷体_GB2312" w:hAnsi="宋体" w:eastAsia="楷体_GB2312" w:cs="楷体"/>
          <w:b/>
          <w:sz w:val="32"/>
          <w:szCs w:val="32"/>
          <w:lang w:eastAsia="zh-CN"/>
        </w:rPr>
        <w:t>一是</w:t>
      </w:r>
      <w:r>
        <w:rPr>
          <w:rFonts w:hint="eastAsia" w:ascii="仿宋_GB2312" w:hAnsi="仿宋_GB2312" w:eastAsia="仿宋_GB2312" w:cs="仿宋_GB2312"/>
          <w:b/>
          <w:bCs/>
          <w:sz w:val="32"/>
          <w:szCs w:val="32"/>
          <w:lang w:eastAsia="zh-CN"/>
        </w:rPr>
        <w:t>志愿服务促发展</w:t>
      </w:r>
      <w:r>
        <w:rPr>
          <w:rFonts w:hint="eastAsia" w:ascii="仿宋_GB2312" w:hAnsi="仿宋_GB2312" w:eastAsia="仿宋_GB2312" w:cs="仿宋_GB2312"/>
          <w:b/>
          <w:bCs/>
          <w:sz w:val="32"/>
          <w:szCs w:val="32"/>
        </w:rPr>
        <w:t>。</w:t>
      </w:r>
      <w:r>
        <w:rPr>
          <w:rFonts w:hint="eastAsia" w:ascii="仿宋_GB2312" w:hAnsi="Microsoft YaHei UI" w:eastAsia="仿宋_GB2312" w:cstheme="minorBidi"/>
          <w:spacing w:val="6"/>
          <w:kern w:val="2"/>
          <w:sz w:val="32"/>
          <w:szCs w:val="32"/>
          <w:lang w:val="en-US" w:eastAsia="zh-CN" w:bidi="ar-SA"/>
        </w:rPr>
        <w:t>发动352支市直机关党员志愿者服务队共万名党员志愿者，围绕国家陶瓷文化传承创新试验区建设、常态长效创建全国文明城市等中心工作，开展党员向社区报到、文明交通劝导、机关环境整治等党员志愿活动。</w:t>
      </w:r>
      <w:r>
        <w:rPr>
          <w:rFonts w:hint="eastAsia" w:ascii="仿宋_GB2312" w:hAnsi="仿宋_GB2312" w:eastAsia="仿宋_GB2312" w:cs="仿宋_GB2312"/>
          <w:b/>
          <w:bCs/>
          <w:sz w:val="32"/>
          <w:szCs w:val="32"/>
          <w:lang w:eastAsia="zh-CN"/>
        </w:rPr>
        <w:t>二是疫情防控促发展</w:t>
      </w:r>
      <w:r>
        <w:rPr>
          <w:rFonts w:hint="eastAsia" w:ascii="仿宋_GB2312" w:hAnsi="仿宋_GB2312" w:eastAsia="仿宋_GB2312" w:cs="仿宋_GB2312"/>
          <w:b/>
          <w:bCs/>
          <w:sz w:val="32"/>
          <w:szCs w:val="32"/>
        </w:rPr>
        <w:t>。</w:t>
      </w:r>
      <w:r>
        <w:rPr>
          <w:rFonts w:hint="eastAsia" w:ascii="仿宋_GB2312" w:hAnsi="Microsoft YaHei UI" w:eastAsia="仿宋_GB2312" w:cstheme="minorBidi"/>
          <w:spacing w:val="6"/>
          <w:kern w:val="2"/>
          <w:sz w:val="32"/>
          <w:szCs w:val="32"/>
          <w:lang w:val="en-US" w:eastAsia="zh-CN" w:bidi="ar-SA"/>
        </w:rPr>
        <w:t>配合市委组织部组成六个督导组实地核查市直单位干部职工疫苗接种情况及未接种原因。动员市直机关干部职工应接尽接，为构筑全社会“免疫长城”做出积极贡献。</w:t>
      </w:r>
      <w:r>
        <w:rPr>
          <w:rFonts w:hint="eastAsia" w:ascii="仿宋_GB2312" w:hAnsi="仿宋_GB2312" w:eastAsia="仿宋_GB2312" w:cs="仿宋_GB2312"/>
          <w:b/>
          <w:bCs/>
          <w:sz w:val="32"/>
          <w:szCs w:val="32"/>
          <w:lang w:eastAsia="zh-CN"/>
        </w:rPr>
        <w:t>三是公正选举促发展</w:t>
      </w:r>
      <w:r>
        <w:rPr>
          <w:rFonts w:hint="eastAsia" w:ascii="仿宋_GB2312" w:hAnsi="仿宋_GB2312" w:eastAsia="仿宋_GB2312" w:cs="仿宋_GB2312"/>
          <w:b/>
          <w:bCs/>
          <w:sz w:val="32"/>
          <w:szCs w:val="32"/>
        </w:rPr>
        <w:t>。</w:t>
      </w:r>
      <w:r>
        <w:rPr>
          <w:rFonts w:hint="eastAsia" w:ascii="仿宋_GB2312" w:hAnsi="Microsoft YaHei UI" w:eastAsia="仿宋_GB2312" w:cstheme="minorBidi"/>
          <w:spacing w:val="6"/>
          <w:kern w:val="2"/>
          <w:sz w:val="32"/>
          <w:szCs w:val="32"/>
          <w:lang w:val="en-US" w:eastAsia="zh-CN" w:bidi="ar-SA"/>
        </w:rPr>
        <w:t>积极筹备并召开市直机关党代表会议，本着公开、公正、透明的原则，选举产生了景德镇市直机关出席中国共产党景德镇第十二次代表大会代表176名。</w:t>
      </w:r>
    </w:p>
    <w:p>
      <w:pPr>
        <w:snapToGrid w:val="0"/>
        <w:spacing w:line="520" w:lineRule="exact"/>
        <w:rPr>
          <w:rFonts w:ascii="黑体" w:hAnsi="黑体" w:eastAsia="黑体"/>
          <w:b/>
          <w:sz w:val="32"/>
          <w:szCs w:val="32"/>
        </w:rPr>
      </w:pPr>
      <w:r>
        <w:rPr>
          <w:rFonts w:hint="eastAsia" w:ascii="黑体" w:hAnsi="黑体" w:eastAsia="黑体"/>
          <w:b/>
          <w:sz w:val="32"/>
          <w:szCs w:val="32"/>
        </w:rPr>
        <w:t>二、收入支出预算执行情况分析</w:t>
      </w:r>
    </w:p>
    <w:bookmarkEnd w:id="0"/>
    <w:p>
      <w:pPr>
        <w:snapToGrid w:val="0"/>
        <w:spacing w:line="520" w:lineRule="exact"/>
        <w:ind w:firstLine="643" w:firstLineChars="200"/>
        <w:rPr>
          <w:rFonts w:ascii="宋体" w:hAnsi="宋体" w:eastAsia="宋体"/>
          <w:b/>
          <w:sz w:val="32"/>
          <w:szCs w:val="32"/>
        </w:rPr>
      </w:pPr>
      <w:r>
        <w:rPr>
          <w:rFonts w:hint="eastAsia" w:ascii="宋体" w:hAnsi="宋体" w:eastAsia="宋体"/>
          <w:b/>
          <w:sz w:val="32"/>
          <w:szCs w:val="32"/>
        </w:rPr>
        <w:t>（一）收入预算安排情况。</w:t>
      </w:r>
    </w:p>
    <w:p>
      <w:pPr>
        <w:snapToGrid w:val="0"/>
        <w:spacing w:line="520" w:lineRule="exact"/>
        <w:ind w:firstLine="643" w:firstLineChars="200"/>
        <w:rPr>
          <w:rFonts w:ascii="宋体" w:hAnsi="宋体" w:eastAsia="宋体"/>
          <w:sz w:val="32"/>
          <w:szCs w:val="32"/>
        </w:rPr>
      </w:pPr>
      <w:r>
        <w:rPr>
          <w:rFonts w:hint="eastAsia" w:ascii="宋体" w:hAnsi="宋体" w:eastAsia="宋体"/>
          <w:b/>
          <w:sz w:val="32"/>
          <w:szCs w:val="32"/>
        </w:rPr>
        <w:t>1、收入情况。</w:t>
      </w:r>
      <w:r>
        <w:rPr>
          <w:rFonts w:hint="eastAsia" w:ascii="宋体" w:hAnsi="宋体" w:eastAsia="宋体"/>
          <w:sz w:val="32"/>
          <w:szCs w:val="32"/>
        </w:rPr>
        <w:t>20</w:t>
      </w:r>
      <w:r>
        <w:rPr>
          <w:rFonts w:hint="eastAsia" w:ascii="宋体" w:hAnsi="宋体" w:eastAsia="宋体"/>
          <w:sz w:val="32"/>
          <w:szCs w:val="32"/>
          <w:lang w:val="en-US" w:eastAsia="zh-CN"/>
        </w:rPr>
        <w:t>21</w:t>
      </w:r>
      <w:r>
        <w:rPr>
          <w:rFonts w:hint="eastAsia" w:ascii="宋体" w:hAnsi="宋体" w:eastAsia="宋体"/>
          <w:sz w:val="32"/>
          <w:szCs w:val="32"/>
        </w:rPr>
        <w:t>年收入合计</w:t>
      </w:r>
      <w:r>
        <w:rPr>
          <w:rFonts w:hint="eastAsia" w:ascii="宋体" w:hAnsi="宋体" w:eastAsia="宋体"/>
          <w:sz w:val="32"/>
          <w:szCs w:val="32"/>
          <w:lang w:val="en-US" w:eastAsia="zh-CN"/>
        </w:rPr>
        <w:t>376.74</w:t>
      </w:r>
      <w:r>
        <w:rPr>
          <w:rFonts w:hint="eastAsia" w:ascii="宋体" w:hAnsi="宋体" w:eastAsia="宋体"/>
          <w:sz w:val="32"/>
          <w:szCs w:val="32"/>
        </w:rPr>
        <w:t>万元，</w:t>
      </w:r>
      <w:r>
        <w:rPr>
          <w:rFonts w:hint="eastAsia" w:ascii="宋体" w:hAnsi="宋体" w:eastAsia="宋体"/>
          <w:sz w:val="32"/>
          <w:szCs w:val="32"/>
          <w:lang w:eastAsia="zh-CN"/>
        </w:rPr>
        <w:t>较上年减少了</w:t>
      </w:r>
      <w:r>
        <w:rPr>
          <w:rFonts w:hint="eastAsia" w:ascii="宋体" w:hAnsi="宋体" w:eastAsia="宋体"/>
          <w:sz w:val="32"/>
          <w:szCs w:val="32"/>
          <w:lang w:val="en-US" w:eastAsia="zh-CN"/>
        </w:rPr>
        <w:t>13.13%，变动主要原因：人员经费收入减少。</w:t>
      </w:r>
      <w:r>
        <w:rPr>
          <w:rFonts w:hint="eastAsia" w:ascii="宋体" w:hAnsi="宋体" w:eastAsia="宋体"/>
          <w:sz w:val="32"/>
          <w:szCs w:val="32"/>
        </w:rPr>
        <w:t>其中：当年公共财政拨款</w:t>
      </w:r>
      <w:r>
        <w:rPr>
          <w:rFonts w:hint="eastAsia" w:ascii="宋体" w:hAnsi="宋体" w:eastAsia="宋体"/>
          <w:sz w:val="32"/>
          <w:szCs w:val="32"/>
          <w:lang w:val="en-US" w:eastAsia="zh-CN"/>
        </w:rPr>
        <w:t>351.74</w:t>
      </w:r>
      <w:r>
        <w:rPr>
          <w:rFonts w:hint="eastAsia" w:ascii="宋体" w:hAnsi="宋体" w:eastAsia="宋体"/>
          <w:sz w:val="32"/>
          <w:szCs w:val="32"/>
        </w:rPr>
        <w:t>万元，其他收入</w:t>
      </w:r>
      <w:r>
        <w:rPr>
          <w:rFonts w:hint="eastAsia" w:ascii="宋体" w:hAnsi="宋体" w:eastAsia="宋体"/>
          <w:sz w:val="32"/>
          <w:szCs w:val="32"/>
          <w:lang w:val="en-US" w:eastAsia="zh-CN"/>
        </w:rPr>
        <w:t>25</w:t>
      </w:r>
      <w:r>
        <w:rPr>
          <w:rFonts w:hint="eastAsia" w:ascii="宋体" w:hAnsi="宋体" w:eastAsia="宋体"/>
          <w:sz w:val="32"/>
          <w:szCs w:val="32"/>
        </w:rPr>
        <w:t>万元；年初结余和结转</w:t>
      </w:r>
      <w:r>
        <w:rPr>
          <w:rFonts w:hint="eastAsia" w:ascii="宋体" w:hAnsi="宋体" w:eastAsia="宋体"/>
          <w:sz w:val="32"/>
          <w:szCs w:val="32"/>
          <w:lang w:val="en-US" w:eastAsia="zh-CN"/>
        </w:rPr>
        <w:t>0</w:t>
      </w:r>
      <w:r>
        <w:rPr>
          <w:rFonts w:hint="eastAsia" w:ascii="宋体" w:hAnsi="宋体" w:eastAsia="宋体"/>
          <w:sz w:val="32"/>
          <w:szCs w:val="32"/>
        </w:rPr>
        <w:t>万元，总计</w:t>
      </w:r>
      <w:r>
        <w:rPr>
          <w:rFonts w:hint="eastAsia" w:ascii="宋体" w:hAnsi="宋体" w:eastAsia="宋体"/>
          <w:sz w:val="32"/>
          <w:szCs w:val="32"/>
          <w:lang w:val="en-US" w:eastAsia="zh-CN"/>
        </w:rPr>
        <w:t>376.74</w:t>
      </w:r>
      <w:r>
        <w:rPr>
          <w:rFonts w:hint="eastAsia" w:ascii="宋体" w:hAnsi="宋体" w:eastAsia="宋体"/>
          <w:sz w:val="32"/>
          <w:szCs w:val="32"/>
        </w:rPr>
        <w:t>万元。</w:t>
      </w:r>
    </w:p>
    <w:p>
      <w:pPr>
        <w:snapToGrid w:val="0"/>
        <w:spacing w:line="520" w:lineRule="exact"/>
        <w:ind w:firstLine="642"/>
        <w:rPr>
          <w:rFonts w:hint="eastAsia" w:ascii="宋体" w:hAnsi="宋体" w:eastAsia="宋体"/>
          <w:sz w:val="32"/>
          <w:szCs w:val="32"/>
        </w:rPr>
      </w:pPr>
      <w:r>
        <w:rPr>
          <w:rFonts w:hint="eastAsia" w:ascii="宋体" w:hAnsi="宋体" w:eastAsia="宋体"/>
          <w:b/>
          <w:sz w:val="32"/>
          <w:szCs w:val="32"/>
        </w:rPr>
        <w:t>2、支出情况。</w:t>
      </w:r>
      <w:r>
        <w:rPr>
          <w:rFonts w:hint="eastAsia" w:ascii="宋体" w:hAnsi="宋体" w:eastAsia="宋体"/>
          <w:sz w:val="32"/>
          <w:szCs w:val="32"/>
          <w:lang w:val="en-US" w:eastAsia="zh-CN"/>
        </w:rPr>
        <w:t>2021</w:t>
      </w:r>
      <w:r>
        <w:rPr>
          <w:rFonts w:hint="eastAsia" w:ascii="宋体" w:hAnsi="宋体" w:eastAsia="宋体"/>
          <w:sz w:val="32"/>
          <w:szCs w:val="32"/>
        </w:rPr>
        <w:t>年支出合计</w:t>
      </w:r>
      <w:r>
        <w:rPr>
          <w:rFonts w:hint="eastAsia" w:ascii="宋体" w:hAnsi="宋体" w:eastAsia="宋体"/>
          <w:sz w:val="32"/>
          <w:szCs w:val="32"/>
          <w:lang w:val="en-US" w:eastAsia="zh-CN"/>
        </w:rPr>
        <w:t>376.74</w:t>
      </w:r>
      <w:r>
        <w:rPr>
          <w:rFonts w:hint="eastAsia" w:ascii="宋体" w:hAnsi="宋体" w:eastAsia="宋体"/>
          <w:sz w:val="32"/>
          <w:szCs w:val="32"/>
        </w:rPr>
        <w:t>万元，</w:t>
      </w:r>
      <w:r>
        <w:rPr>
          <w:rFonts w:hint="eastAsia" w:ascii="宋体" w:hAnsi="宋体" w:eastAsia="宋体"/>
          <w:sz w:val="32"/>
          <w:szCs w:val="32"/>
          <w:lang w:eastAsia="zh-CN"/>
        </w:rPr>
        <w:t>较上年减少了</w:t>
      </w:r>
      <w:r>
        <w:rPr>
          <w:rFonts w:hint="eastAsia" w:ascii="宋体" w:hAnsi="宋体" w:eastAsia="宋体"/>
          <w:sz w:val="32"/>
          <w:szCs w:val="32"/>
          <w:lang w:val="en-US" w:eastAsia="zh-CN"/>
        </w:rPr>
        <w:t>18.13%，变动主要原因：人员经费支出减少。</w:t>
      </w:r>
      <w:r>
        <w:rPr>
          <w:rFonts w:hint="eastAsia" w:ascii="宋体" w:hAnsi="宋体" w:eastAsia="宋体"/>
          <w:sz w:val="32"/>
          <w:szCs w:val="32"/>
        </w:rPr>
        <w:t>其中：工资福利支出</w:t>
      </w:r>
      <w:r>
        <w:rPr>
          <w:rFonts w:hint="eastAsia" w:ascii="宋体" w:hAnsi="宋体" w:eastAsia="宋体"/>
          <w:sz w:val="32"/>
          <w:szCs w:val="32"/>
          <w:lang w:val="en-US" w:eastAsia="zh-CN"/>
        </w:rPr>
        <w:t>256.83</w:t>
      </w:r>
      <w:r>
        <w:rPr>
          <w:rFonts w:hint="eastAsia" w:ascii="宋体" w:hAnsi="宋体" w:eastAsia="宋体"/>
          <w:sz w:val="32"/>
          <w:szCs w:val="32"/>
        </w:rPr>
        <w:t>万元，商品和服务支出</w:t>
      </w:r>
      <w:r>
        <w:rPr>
          <w:rFonts w:hint="eastAsia" w:ascii="宋体" w:hAnsi="宋体" w:eastAsia="宋体"/>
          <w:sz w:val="32"/>
          <w:szCs w:val="32"/>
          <w:lang w:val="en-US" w:eastAsia="zh-CN"/>
        </w:rPr>
        <w:t>58.48</w:t>
      </w:r>
      <w:r>
        <w:rPr>
          <w:rFonts w:hint="eastAsia" w:ascii="宋体" w:hAnsi="宋体" w:eastAsia="宋体"/>
          <w:sz w:val="32"/>
          <w:szCs w:val="32"/>
        </w:rPr>
        <w:t>万元，对个人和家庭的补助</w:t>
      </w:r>
      <w:r>
        <w:rPr>
          <w:rFonts w:hint="eastAsia" w:ascii="宋体" w:hAnsi="宋体" w:eastAsia="宋体"/>
          <w:sz w:val="32"/>
          <w:szCs w:val="32"/>
          <w:lang w:val="en-US" w:eastAsia="zh-CN"/>
        </w:rPr>
        <w:t>55.86</w:t>
      </w:r>
      <w:r>
        <w:rPr>
          <w:rFonts w:hint="eastAsia" w:ascii="宋体" w:hAnsi="宋体" w:eastAsia="宋体"/>
          <w:sz w:val="32"/>
          <w:szCs w:val="32"/>
        </w:rPr>
        <w:t>万元，其他资本性支出</w:t>
      </w:r>
      <w:r>
        <w:rPr>
          <w:rFonts w:hint="eastAsia" w:ascii="宋体" w:hAnsi="宋体" w:eastAsia="宋体"/>
          <w:sz w:val="32"/>
          <w:szCs w:val="32"/>
          <w:lang w:val="en-US" w:eastAsia="zh-CN"/>
        </w:rPr>
        <w:t>5.57</w:t>
      </w:r>
      <w:r>
        <w:rPr>
          <w:rFonts w:hint="eastAsia" w:ascii="宋体" w:hAnsi="宋体" w:eastAsia="宋体"/>
          <w:sz w:val="32"/>
          <w:szCs w:val="32"/>
        </w:rPr>
        <w:t>万元。</w:t>
      </w:r>
    </w:p>
    <w:p>
      <w:pPr>
        <w:snapToGrid w:val="0"/>
        <w:spacing w:line="240" w:lineRule="auto"/>
        <w:ind w:firstLine="642"/>
        <w:rPr>
          <w:rFonts w:hint="eastAsia" w:ascii="宋体" w:hAnsi="宋体" w:eastAsia="宋体"/>
          <w:sz w:val="32"/>
          <w:szCs w:val="32"/>
          <w:lang w:eastAsia="zh-CN"/>
        </w:rPr>
      </w:pPr>
      <w:r>
        <w:rPr>
          <w:rFonts w:hint="eastAsia" w:ascii="宋体" w:hAnsi="宋体" w:eastAsia="宋体"/>
          <w:sz w:val="32"/>
          <w:szCs w:val="32"/>
          <w:lang w:eastAsia="zh-CN"/>
        </w:rPr>
        <w:drawing>
          <wp:inline distT="0" distB="0" distL="114300" distR="114300">
            <wp:extent cx="5269230" cy="2689860"/>
            <wp:effectExtent l="0" t="0" r="7620" b="1524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4"/>
                    <a:stretch>
                      <a:fillRect/>
                    </a:stretch>
                  </pic:blipFill>
                  <pic:spPr>
                    <a:xfrm>
                      <a:off x="0" y="0"/>
                      <a:ext cx="5269230" cy="2689860"/>
                    </a:xfrm>
                    <a:prstGeom prst="rect">
                      <a:avLst/>
                    </a:prstGeom>
                  </pic:spPr>
                </pic:pic>
              </a:graphicData>
            </a:graphic>
          </wp:inline>
        </w:drawing>
      </w:r>
    </w:p>
    <w:p>
      <w:pPr>
        <w:snapToGrid w:val="0"/>
        <w:spacing w:line="520" w:lineRule="exact"/>
        <w:rPr>
          <w:rFonts w:hint="eastAsia" w:ascii="宋体" w:hAnsi="宋体" w:eastAsia="宋体"/>
          <w:sz w:val="32"/>
          <w:szCs w:val="32"/>
        </w:rPr>
      </w:pPr>
    </w:p>
    <w:p>
      <w:pPr>
        <w:snapToGrid w:val="0"/>
        <w:spacing w:line="520" w:lineRule="exact"/>
        <w:ind w:firstLine="643" w:firstLineChars="200"/>
        <w:rPr>
          <w:rFonts w:ascii="宋体" w:hAnsi="宋体" w:eastAsia="宋体"/>
          <w:b/>
          <w:sz w:val="32"/>
          <w:szCs w:val="32"/>
        </w:rPr>
      </w:pPr>
      <w:r>
        <w:rPr>
          <w:rFonts w:hint="eastAsia" w:ascii="宋体" w:hAnsi="宋体" w:eastAsia="宋体"/>
          <w:b/>
          <w:sz w:val="32"/>
          <w:szCs w:val="32"/>
        </w:rPr>
        <w:t>（二）收入支出预算执行情况。</w:t>
      </w:r>
    </w:p>
    <w:p>
      <w:pPr>
        <w:snapToGrid w:val="0"/>
        <w:spacing w:line="520" w:lineRule="exact"/>
        <w:ind w:firstLine="640" w:firstLineChars="200"/>
        <w:rPr>
          <w:rFonts w:ascii="宋体" w:hAnsi="宋体" w:eastAsia="宋体"/>
          <w:sz w:val="32"/>
          <w:szCs w:val="32"/>
        </w:rPr>
      </w:pPr>
      <w:r>
        <w:rPr>
          <w:rFonts w:hint="eastAsia" w:ascii="宋体" w:hAnsi="宋体" w:eastAsia="宋体"/>
          <w:sz w:val="32"/>
          <w:szCs w:val="32"/>
        </w:rPr>
        <w:t>20</w:t>
      </w:r>
      <w:r>
        <w:rPr>
          <w:rFonts w:hint="eastAsia" w:ascii="宋体" w:hAnsi="宋体" w:eastAsia="宋体"/>
          <w:sz w:val="32"/>
          <w:szCs w:val="32"/>
          <w:lang w:val="en-US" w:eastAsia="zh-CN"/>
        </w:rPr>
        <w:t>21</w:t>
      </w:r>
      <w:r>
        <w:rPr>
          <w:rFonts w:hint="eastAsia" w:ascii="宋体" w:hAnsi="宋体" w:eastAsia="宋体"/>
          <w:sz w:val="32"/>
          <w:szCs w:val="32"/>
        </w:rPr>
        <w:t>年财政拨款收入决算数</w:t>
      </w:r>
      <w:r>
        <w:rPr>
          <w:rFonts w:hint="eastAsia" w:ascii="宋体" w:hAnsi="宋体" w:eastAsia="宋体"/>
          <w:sz w:val="32"/>
          <w:szCs w:val="32"/>
          <w:lang w:val="en-US" w:eastAsia="zh-CN"/>
        </w:rPr>
        <w:t>351.74</w:t>
      </w:r>
      <w:r>
        <w:rPr>
          <w:rFonts w:hint="eastAsia" w:ascii="宋体" w:hAnsi="宋体" w:eastAsia="宋体"/>
          <w:sz w:val="32"/>
          <w:szCs w:val="32"/>
        </w:rPr>
        <w:t>万元，较上年</w:t>
      </w:r>
      <w:r>
        <w:rPr>
          <w:rFonts w:hint="eastAsia" w:ascii="宋体" w:hAnsi="宋体" w:eastAsia="宋体"/>
          <w:sz w:val="32"/>
          <w:szCs w:val="32"/>
          <w:lang w:eastAsia="zh-CN"/>
        </w:rPr>
        <w:t>增加</w:t>
      </w:r>
      <w:r>
        <w:rPr>
          <w:rFonts w:hint="eastAsia" w:ascii="宋体" w:hAnsi="宋体" w:eastAsia="宋体"/>
          <w:sz w:val="32"/>
          <w:szCs w:val="32"/>
        </w:rPr>
        <w:t>了</w:t>
      </w:r>
      <w:r>
        <w:rPr>
          <w:rFonts w:hint="eastAsia" w:ascii="宋体" w:hAnsi="宋体" w:eastAsia="宋体"/>
          <w:sz w:val="32"/>
          <w:szCs w:val="32"/>
          <w:lang w:val="en-US" w:eastAsia="zh-CN"/>
        </w:rPr>
        <w:t>7.01</w:t>
      </w:r>
      <w:r>
        <w:rPr>
          <w:rFonts w:hint="eastAsia" w:ascii="宋体" w:hAnsi="宋体" w:eastAsia="宋体"/>
          <w:sz w:val="32"/>
          <w:szCs w:val="32"/>
        </w:rPr>
        <w:t>%；</w:t>
      </w:r>
      <w:r>
        <w:rPr>
          <w:rFonts w:hint="eastAsia" w:ascii="宋体" w:hAnsi="宋体" w:eastAsia="宋体"/>
          <w:sz w:val="32"/>
          <w:szCs w:val="32"/>
          <w:lang w:val="en-US" w:eastAsia="zh-CN"/>
        </w:rPr>
        <w:t>2021</w:t>
      </w:r>
      <w:r>
        <w:rPr>
          <w:rFonts w:hint="eastAsia" w:ascii="宋体" w:hAnsi="宋体" w:eastAsia="宋体"/>
          <w:sz w:val="32"/>
          <w:szCs w:val="32"/>
        </w:rPr>
        <w:t>年支出决算数</w:t>
      </w:r>
      <w:r>
        <w:rPr>
          <w:rFonts w:hint="eastAsia" w:ascii="宋体" w:hAnsi="宋体" w:eastAsia="宋体"/>
          <w:sz w:val="32"/>
          <w:szCs w:val="32"/>
          <w:lang w:val="en-US" w:eastAsia="zh-CN"/>
        </w:rPr>
        <w:t>351.74</w:t>
      </w:r>
      <w:r>
        <w:rPr>
          <w:rFonts w:hint="eastAsia" w:ascii="宋体" w:hAnsi="宋体" w:eastAsia="宋体"/>
          <w:sz w:val="32"/>
          <w:szCs w:val="32"/>
        </w:rPr>
        <w:t>万元，较上年上升了</w:t>
      </w:r>
      <w:r>
        <w:rPr>
          <w:rFonts w:hint="eastAsia" w:ascii="宋体" w:hAnsi="宋体" w:eastAsia="宋体"/>
          <w:color w:val="auto"/>
          <w:sz w:val="32"/>
          <w:szCs w:val="32"/>
          <w:shd w:val="clear" w:color="FFFFFF" w:fill="D9D9D9"/>
          <w:lang w:val="en-US" w:eastAsia="zh-CN"/>
        </w:rPr>
        <w:t>6.42%</w:t>
      </w:r>
      <w:r>
        <w:rPr>
          <w:rFonts w:hint="eastAsia" w:ascii="宋体" w:hAnsi="宋体" w:eastAsia="宋体"/>
          <w:sz w:val="32"/>
          <w:szCs w:val="32"/>
        </w:rPr>
        <w:t>。变动主要原因：人员经费支出增加。</w:t>
      </w:r>
    </w:p>
    <w:p>
      <w:pPr>
        <w:numPr>
          <w:ilvl w:val="0"/>
          <w:numId w:val="3"/>
        </w:numPr>
        <w:snapToGrid w:val="0"/>
        <w:spacing w:line="520" w:lineRule="exact"/>
        <w:ind w:firstLine="643" w:firstLineChars="200"/>
        <w:rPr>
          <w:rFonts w:hint="eastAsia" w:ascii="宋体" w:hAnsi="宋体" w:eastAsia="宋体"/>
          <w:b/>
          <w:sz w:val="32"/>
          <w:szCs w:val="32"/>
        </w:rPr>
      </w:pPr>
      <w:r>
        <w:rPr>
          <w:rFonts w:hint="eastAsia" w:ascii="宋体" w:hAnsi="宋体" w:eastAsia="宋体"/>
          <w:b/>
          <w:sz w:val="32"/>
          <w:szCs w:val="32"/>
        </w:rPr>
        <w:t>收入支出与预算对比分析。</w:t>
      </w:r>
    </w:p>
    <w:p>
      <w:pPr>
        <w:numPr>
          <w:ilvl w:val="0"/>
          <w:numId w:val="4"/>
        </w:numPr>
        <w:snapToGrid w:val="0"/>
        <w:spacing w:line="520" w:lineRule="exact"/>
        <w:rPr>
          <w:rFonts w:hint="eastAsia" w:ascii="宋体" w:hAnsi="宋体" w:eastAsia="宋体" w:cs="宋体"/>
          <w:color w:val="000000"/>
          <w:kern w:val="0"/>
          <w:sz w:val="20"/>
          <w:szCs w:val="20"/>
        </w:rPr>
      </w:pPr>
      <w:r>
        <w:rPr>
          <w:rFonts w:hint="eastAsia" w:ascii="宋体" w:hAnsi="宋体" w:eastAsia="宋体"/>
          <w:sz w:val="32"/>
          <w:szCs w:val="32"/>
        </w:rPr>
        <w:t xml:space="preserve">预、决算差异情况，分收入支出功能科目：  </w:t>
      </w:r>
      <w:r>
        <w:rPr>
          <w:rFonts w:hint="eastAsia" w:ascii="宋体" w:hAnsi="宋体" w:eastAsia="宋体" w:cs="宋体"/>
          <w:color w:val="000000"/>
          <w:kern w:val="0"/>
          <w:sz w:val="20"/>
          <w:szCs w:val="20"/>
        </w:rPr>
        <w:t>（单位：万元）</w:t>
      </w:r>
    </w:p>
    <w:p>
      <w:pPr>
        <w:widowControl w:val="0"/>
        <w:numPr>
          <w:ilvl w:val="0"/>
          <w:numId w:val="0"/>
        </w:numPr>
        <w:snapToGrid w:val="0"/>
        <w:spacing w:line="520" w:lineRule="exact"/>
        <w:jc w:val="both"/>
        <w:rPr>
          <w:rFonts w:hint="eastAsia" w:ascii="宋体" w:hAnsi="宋体" w:eastAsia="宋体" w:cs="宋体"/>
          <w:color w:val="000000"/>
          <w:kern w:val="0"/>
          <w:sz w:val="20"/>
          <w:szCs w:val="20"/>
        </w:rPr>
      </w:pPr>
    </w:p>
    <w:p>
      <w:pPr>
        <w:widowControl w:val="0"/>
        <w:numPr>
          <w:ilvl w:val="0"/>
          <w:numId w:val="0"/>
        </w:numPr>
        <w:snapToGrid w:val="0"/>
        <w:spacing w:line="520" w:lineRule="exact"/>
        <w:jc w:val="both"/>
        <w:rPr>
          <w:rFonts w:hint="eastAsia" w:ascii="宋体" w:hAnsi="宋体" w:eastAsia="宋体" w:cs="宋体"/>
          <w:color w:val="000000"/>
          <w:kern w:val="0"/>
          <w:sz w:val="20"/>
          <w:szCs w:val="20"/>
        </w:rPr>
      </w:pPr>
    </w:p>
    <w:p>
      <w:pPr>
        <w:widowControl w:val="0"/>
        <w:numPr>
          <w:ilvl w:val="0"/>
          <w:numId w:val="0"/>
        </w:numPr>
        <w:snapToGrid w:val="0"/>
        <w:spacing w:line="520" w:lineRule="exact"/>
        <w:jc w:val="both"/>
        <w:rPr>
          <w:rFonts w:hint="eastAsia" w:ascii="宋体" w:hAnsi="宋体" w:eastAsia="宋体" w:cs="宋体"/>
          <w:color w:val="000000"/>
          <w:kern w:val="0"/>
          <w:sz w:val="20"/>
          <w:szCs w:val="20"/>
        </w:rPr>
      </w:pPr>
    </w:p>
    <w:p>
      <w:pPr>
        <w:widowControl w:val="0"/>
        <w:numPr>
          <w:ilvl w:val="0"/>
          <w:numId w:val="0"/>
        </w:numPr>
        <w:snapToGrid w:val="0"/>
        <w:spacing w:line="520" w:lineRule="exact"/>
        <w:jc w:val="both"/>
        <w:rPr>
          <w:rFonts w:hint="eastAsia" w:ascii="宋体" w:hAnsi="宋体" w:eastAsia="宋体" w:cs="宋体"/>
          <w:color w:val="000000"/>
          <w:kern w:val="0"/>
          <w:sz w:val="20"/>
          <w:szCs w:val="20"/>
        </w:rPr>
      </w:pPr>
    </w:p>
    <w:tbl>
      <w:tblPr>
        <w:tblStyle w:val="10"/>
        <w:tblW w:w="9300" w:type="dxa"/>
        <w:tblInd w:w="0" w:type="dxa"/>
        <w:tblLayout w:type="fixed"/>
        <w:tblCellMar>
          <w:top w:w="15" w:type="dxa"/>
          <w:left w:w="15" w:type="dxa"/>
          <w:bottom w:w="15" w:type="dxa"/>
          <w:right w:w="15" w:type="dxa"/>
        </w:tblCellMar>
      </w:tblPr>
      <w:tblGrid>
        <w:gridCol w:w="1305"/>
        <w:gridCol w:w="2112"/>
        <w:gridCol w:w="1843"/>
        <w:gridCol w:w="1985"/>
        <w:gridCol w:w="2055"/>
      </w:tblGrid>
      <w:tr>
        <w:tblPrEx>
          <w:tblCellMar>
            <w:top w:w="15" w:type="dxa"/>
            <w:left w:w="15" w:type="dxa"/>
            <w:bottom w:w="15" w:type="dxa"/>
            <w:right w:w="15" w:type="dxa"/>
          </w:tblCellMar>
        </w:tblPrEx>
        <w:trPr>
          <w:trHeight w:val="270" w:hRule="atLeast"/>
        </w:trPr>
        <w:tc>
          <w:tcPr>
            <w:tcW w:w="3417" w:type="dxa"/>
            <w:gridSpan w:val="2"/>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843"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本年财政拨款预算收入</w:t>
            </w:r>
          </w:p>
        </w:tc>
        <w:tc>
          <w:tcPr>
            <w:tcW w:w="198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本年财政拨款决算收入</w:t>
            </w:r>
          </w:p>
        </w:tc>
        <w:tc>
          <w:tcPr>
            <w:tcW w:w="205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差异</w:t>
            </w:r>
          </w:p>
        </w:tc>
      </w:tr>
      <w:tr>
        <w:tblPrEx>
          <w:tblCellMar>
            <w:top w:w="15" w:type="dxa"/>
            <w:left w:w="15" w:type="dxa"/>
            <w:bottom w:w="15" w:type="dxa"/>
            <w:right w:w="15" w:type="dxa"/>
          </w:tblCellMar>
        </w:tblPrEx>
        <w:trPr>
          <w:trHeight w:val="312" w:hRule="atLeast"/>
        </w:trPr>
        <w:tc>
          <w:tcPr>
            <w:tcW w:w="130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支出功能分类科目编码</w:t>
            </w:r>
          </w:p>
        </w:tc>
        <w:tc>
          <w:tcPr>
            <w:tcW w:w="2112"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130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130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306.18</w:t>
            </w:r>
          </w:p>
        </w:tc>
        <w:tc>
          <w:tcPr>
            <w:tcW w:w="1985" w:type="dxa"/>
            <w:tcBorders>
              <w:top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351.74</w:t>
            </w:r>
          </w:p>
        </w:tc>
        <w:tc>
          <w:tcPr>
            <w:tcW w:w="2055" w:type="dxa"/>
            <w:tcBorders>
              <w:top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45.56</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2011105</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派驻派出机构</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eastAsia="zh-CN"/>
              </w:rPr>
            </w:pPr>
            <w:r>
              <w:rPr>
                <w:rFonts w:hint="eastAsia" w:ascii="宋体" w:hAnsi="宋体" w:eastAsia="宋体" w:cs="Arial"/>
                <w:color w:val="000000"/>
                <w:sz w:val="20"/>
                <w:szCs w:val="20"/>
                <w:lang w:val="en-US" w:eastAsia="zh-CN"/>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7</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7.00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其它组织事务支出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255.39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258.01</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2.62</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2013699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其它共产党事务支出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其它进修及培训</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18</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18.00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机关事业单位基本养老保险缴费</w:t>
            </w:r>
            <w:r>
              <w:rPr>
                <w:rFonts w:hint="eastAsia" w:ascii="宋体" w:hAnsi="宋体" w:eastAsia="宋体" w:cs="宋体"/>
                <w:color w:val="000000"/>
                <w:kern w:val="0"/>
                <w:sz w:val="22"/>
                <w:szCs w:val="22"/>
                <w:lang w:eastAsia="zh-CN"/>
              </w:rPr>
              <w:t>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15.25</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15.25</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20808</w:t>
            </w:r>
            <w:r>
              <w:rPr>
                <w:rFonts w:hint="eastAsia" w:ascii="宋体" w:hAnsi="宋体" w:eastAsia="宋体" w:cs="宋体"/>
                <w:color w:val="000000"/>
                <w:kern w:val="0"/>
                <w:sz w:val="22"/>
                <w:szCs w:val="22"/>
                <w:lang w:val="en-US" w:eastAsia="zh-CN"/>
              </w:rPr>
              <w:t>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死亡抚恤</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17.94</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17.94</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行政单位医疗</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11.09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11.09</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2101103</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公务员医疗补助</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5.12</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5.12</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其它行政事业单位医疗</w:t>
            </w:r>
            <w:r>
              <w:rPr>
                <w:rFonts w:hint="eastAsia" w:ascii="宋体" w:hAnsi="宋体" w:eastAsia="宋体" w:cs="宋体"/>
                <w:color w:val="000000"/>
                <w:kern w:val="0"/>
                <w:sz w:val="22"/>
                <w:szCs w:val="22"/>
                <w:lang w:eastAsia="zh-CN"/>
              </w:rPr>
              <w:t>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rPr>
              <w:t>0.</w:t>
            </w:r>
            <w:r>
              <w:rPr>
                <w:rFonts w:hint="eastAsia" w:ascii="宋体" w:hAnsi="宋体" w:eastAsia="宋体" w:cs="Arial"/>
                <w:color w:val="000000"/>
                <w:sz w:val="20"/>
                <w:szCs w:val="20"/>
                <w:lang w:val="en-US" w:eastAsia="zh-CN"/>
              </w:rPr>
              <w:t>19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rPr>
              <w:t>0.</w:t>
            </w:r>
            <w:r>
              <w:rPr>
                <w:rFonts w:hint="eastAsia" w:ascii="宋体" w:hAnsi="宋体" w:eastAsia="宋体" w:cs="Tahoma"/>
                <w:color w:val="000000"/>
                <w:sz w:val="20"/>
                <w:szCs w:val="20"/>
                <w:lang w:val="en-US" w:eastAsia="zh-CN"/>
              </w:rPr>
              <w:t>19</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19.14</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19.14</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85" w:hRule="atLeast"/>
        </w:trPr>
        <w:tc>
          <w:tcPr>
            <w:tcW w:w="1305" w:type="dxa"/>
            <w:shd w:val="clear" w:color="auto" w:fill="auto"/>
            <w:vAlign w:val="bottom"/>
          </w:tcPr>
          <w:p>
            <w:pPr>
              <w:rPr>
                <w:rFonts w:ascii="宋体" w:hAnsi="宋体" w:eastAsia="宋体" w:cs="Arial"/>
                <w:color w:val="000000"/>
                <w:sz w:val="20"/>
                <w:szCs w:val="20"/>
              </w:rPr>
            </w:pPr>
          </w:p>
        </w:tc>
        <w:tc>
          <w:tcPr>
            <w:tcW w:w="2112" w:type="dxa"/>
            <w:shd w:val="clear" w:color="auto" w:fill="auto"/>
            <w:vAlign w:val="bottom"/>
          </w:tcPr>
          <w:p>
            <w:pPr>
              <w:rPr>
                <w:rFonts w:ascii="宋体" w:hAnsi="宋体" w:eastAsia="宋体" w:cs="Arial"/>
                <w:color w:val="000000"/>
                <w:sz w:val="20"/>
                <w:szCs w:val="20"/>
              </w:rPr>
            </w:pPr>
          </w:p>
        </w:tc>
        <w:tc>
          <w:tcPr>
            <w:tcW w:w="1843" w:type="dxa"/>
            <w:shd w:val="clear" w:color="auto" w:fill="auto"/>
            <w:vAlign w:val="bottom"/>
          </w:tcPr>
          <w:p>
            <w:pPr>
              <w:rPr>
                <w:rFonts w:ascii="宋体" w:hAnsi="宋体" w:eastAsia="宋体" w:cs="Arial"/>
                <w:color w:val="000000"/>
                <w:sz w:val="20"/>
                <w:szCs w:val="20"/>
              </w:rPr>
            </w:pPr>
          </w:p>
        </w:tc>
        <w:tc>
          <w:tcPr>
            <w:tcW w:w="1985" w:type="dxa"/>
            <w:shd w:val="clear" w:color="auto" w:fill="auto"/>
            <w:vAlign w:val="bottom"/>
          </w:tcPr>
          <w:p>
            <w:pPr>
              <w:rPr>
                <w:rFonts w:ascii="宋体" w:hAnsi="宋体" w:eastAsia="宋体" w:cs="Arial"/>
                <w:color w:val="000000"/>
                <w:sz w:val="20"/>
                <w:szCs w:val="20"/>
              </w:rPr>
            </w:pPr>
          </w:p>
        </w:tc>
        <w:tc>
          <w:tcPr>
            <w:tcW w:w="2055" w:type="dxa"/>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270" w:hRule="atLeast"/>
        </w:trPr>
        <w:tc>
          <w:tcPr>
            <w:tcW w:w="3417" w:type="dxa"/>
            <w:gridSpan w:val="2"/>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843"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本年财政拨款预算支出</w:t>
            </w:r>
          </w:p>
        </w:tc>
        <w:tc>
          <w:tcPr>
            <w:tcW w:w="198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本年财政拨款决算支出</w:t>
            </w:r>
          </w:p>
        </w:tc>
        <w:tc>
          <w:tcPr>
            <w:tcW w:w="205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差异</w:t>
            </w:r>
          </w:p>
        </w:tc>
      </w:tr>
      <w:tr>
        <w:tblPrEx>
          <w:tblCellMar>
            <w:top w:w="15" w:type="dxa"/>
            <w:left w:w="15" w:type="dxa"/>
            <w:bottom w:w="15" w:type="dxa"/>
            <w:right w:w="15" w:type="dxa"/>
          </w:tblCellMar>
        </w:tblPrEx>
        <w:trPr>
          <w:trHeight w:val="312" w:hRule="atLeast"/>
        </w:trPr>
        <w:tc>
          <w:tcPr>
            <w:tcW w:w="130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支出功能分类科目编码</w:t>
            </w:r>
          </w:p>
        </w:tc>
        <w:tc>
          <w:tcPr>
            <w:tcW w:w="2112"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130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130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9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11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843" w:type="dxa"/>
            <w:tcBorders>
              <w:top w:val="single" w:color="000000" w:sz="4" w:space="0"/>
              <w:bottom w:val="single" w:color="000000" w:sz="4" w:space="0"/>
              <w:right w:val="single" w:color="000000" w:sz="4" w:space="0"/>
            </w:tcBorders>
            <w:shd w:val="clear" w:color="auto" w:fill="auto"/>
            <w:vAlign w:val="bottom"/>
          </w:tcPr>
          <w:p>
            <w:pPr>
              <w:jc w:val="center"/>
              <w:rPr>
                <w:rFonts w:ascii="宋体" w:hAnsi="宋体" w:eastAsia="宋体" w:cs="Arial"/>
                <w:color w:val="000000"/>
                <w:sz w:val="20"/>
                <w:szCs w:val="20"/>
                <w:lang w:val="en-US"/>
              </w:rPr>
            </w:pPr>
            <w:r>
              <w:rPr>
                <w:rFonts w:hint="eastAsia" w:ascii="宋体" w:hAnsi="宋体" w:eastAsia="宋体" w:cs="Arial"/>
                <w:color w:val="000000"/>
                <w:sz w:val="20"/>
                <w:szCs w:val="20"/>
                <w:lang w:val="en-US" w:eastAsia="zh-CN"/>
              </w:rPr>
              <w:t>306.18</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351.74</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45.56</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2011105</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派驻派出机构</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rPr>
              <w:t>7</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lang w:val="en-US" w:eastAsia="zh-CN"/>
              </w:rPr>
              <w:t>7.00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2013299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其它组织事务支出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lang w:val="en-US"/>
              </w:rPr>
            </w:pP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p>
        </w:tc>
      </w:tr>
      <w:tr>
        <w:tblPrEx>
          <w:tblCellMar>
            <w:top w:w="15" w:type="dxa"/>
            <w:left w:w="15" w:type="dxa"/>
            <w:bottom w:w="15" w:type="dxa"/>
            <w:right w:w="15" w:type="dxa"/>
          </w:tblCellMar>
        </w:tblPrEx>
        <w:trPr>
          <w:trHeight w:val="317"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2013601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255.39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lang w:val="en-US"/>
              </w:rPr>
            </w:pPr>
            <w:r>
              <w:rPr>
                <w:rFonts w:hint="eastAsia" w:ascii="宋体" w:hAnsi="宋体" w:eastAsia="宋体" w:cs="Tahoma"/>
                <w:color w:val="000000"/>
                <w:sz w:val="20"/>
                <w:szCs w:val="20"/>
                <w:lang w:val="en-US" w:eastAsia="zh-CN"/>
              </w:rPr>
              <w:t>258.01</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Tahoma"/>
                <w:color w:val="000000"/>
                <w:sz w:val="20"/>
                <w:szCs w:val="20"/>
                <w:lang w:val="en-US" w:eastAsia="zh-CN"/>
              </w:rPr>
              <w:t>2.62</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2013699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其它共产党事务支出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9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其它进修及培训</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18</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lang w:val="en-US" w:eastAsia="zh-CN"/>
              </w:rPr>
              <w:t>18.00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15.25</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15.25</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38"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20808</w:t>
            </w:r>
            <w:r>
              <w:rPr>
                <w:rFonts w:hint="eastAsia" w:ascii="宋体" w:hAnsi="宋体" w:eastAsia="宋体" w:cs="宋体"/>
                <w:color w:val="000000"/>
                <w:kern w:val="0"/>
                <w:sz w:val="22"/>
                <w:szCs w:val="22"/>
                <w:lang w:val="en-US" w:eastAsia="zh-CN"/>
              </w:rPr>
              <w:t>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死亡抚恤</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rPr>
              <w:t>0</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17.94</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Tahoma"/>
                <w:color w:val="000000"/>
                <w:sz w:val="20"/>
                <w:szCs w:val="20"/>
                <w:lang w:val="en-US" w:eastAsia="zh-CN"/>
              </w:rPr>
              <w:t>17.94</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2101101</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行政单位医疗</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11.09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11.09</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2101103</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公务员医疗补助</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5.12</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5.12</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其它行政事业单位医疗支出</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rPr>
              <w:t>0.</w:t>
            </w:r>
            <w:r>
              <w:rPr>
                <w:rFonts w:hint="eastAsia" w:ascii="宋体" w:hAnsi="宋体" w:eastAsia="宋体" w:cs="Arial"/>
                <w:color w:val="000000"/>
                <w:sz w:val="20"/>
                <w:szCs w:val="20"/>
                <w:lang w:val="en-US" w:eastAsia="zh-CN"/>
              </w:rPr>
              <w:t>19</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rPr>
              <w:t>0.</w:t>
            </w:r>
            <w:r>
              <w:rPr>
                <w:rFonts w:hint="eastAsia" w:ascii="宋体" w:hAnsi="宋体" w:eastAsia="宋体" w:cs="Tahoma"/>
                <w:color w:val="000000"/>
                <w:sz w:val="20"/>
                <w:szCs w:val="20"/>
                <w:lang w:val="en-US" w:eastAsia="zh-CN"/>
              </w:rPr>
              <w:t>19</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Arial"/>
                <w:color w:val="000000"/>
                <w:sz w:val="20"/>
                <w:szCs w:val="20"/>
                <w:lang w:val="en-US" w:eastAsia="zh-CN"/>
              </w:rPr>
            </w:pPr>
            <w:r>
              <w:rPr>
                <w:rFonts w:hint="eastAsia" w:ascii="宋体" w:hAnsi="宋体" w:eastAsia="宋体" w:cs="Tahoma"/>
                <w:color w:val="000000"/>
                <w:sz w:val="20"/>
                <w:szCs w:val="20"/>
              </w:rPr>
              <w:t>0.00</w:t>
            </w:r>
          </w:p>
        </w:tc>
      </w:tr>
      <w:tr>
        <w:tblPrEx>
          <w:tblCellMar>
            <w:top w:w="15" w:type="dxa"/>
            <w:left w:w="15" w:type="dxa"/>
            <w:bottom w:w="15" w:type="dxa"/>
            <w:right w:w="15" w:type="dxa"/>
          </w:tblCellMar>
        </w:tblPrEx>
        <w:trPr>
          <w:trHeight w:val="270" w:hRule="atLeast"/>
        </w:trPr>
        <w:tc>
          <w:tcPr>
            <w:tcW w:w="13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2112"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84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19.14</w:t>
            </w:r>
          </w:p>
        </w:tc>
        <w:tc>
          <w:tcPr>
            <w:tcW w:w="198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19.14</w:t>
            </w:r>
          </w:p>
        </w:tc>
        <w:tc>
          <w:tcPr>
            <w:tcW w:w="2055"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0"/>
                <w:szCs w:val="20"/>
              </w:rPr>
            </w:pPr>
            <w:r>
              <w:rPr>
                <w:rFonts w:hint="eastAsia" w:ascii="宋体" w:hAnsi="宋体" w:eastAsia="宋体" w:cs="Tahoma"/>
                <w:color w:val="000000"/>
                <w:sz w:val="20"/>
                <w:szCs w:val="20"/>
              </w:rPr>
              <w:t>0.00</w:t>
            </w:r>
          </w:p>
        </w:tc>
      </w:tr>
    </w:tbl>
    <w:p>
      <w:pPr>
        <w:snapToGrid w:val="0"/>
        <w:spacing w:line="520" w:lineRule="exact"/>
        <w:ind w:firstLine="640" w:firstLineChars="200"/>
        <w:rPr>
          <w:rFonts w:ascii="宋体" w:hAnsi="宋体" w:eastAsia="宋体"/>
          <w:sz w:val="32"/>
          <w:szCs w:val="32"/>
        </w:rPr>
      </w:pPr>
      <w:r>
        <w:rPr>
          <w:rFonts w:hint="eastAsia" w:ascii="宋体" w:hAnsi="宋体" w:eastAsia="宋体"/>
          <w:sz w:val="32"/>
          <w:szCs w:val="32"/>
        </w:rPr>
        <w:t>（2）差异原因分析：</w:t>
      </w:r>
    </w:p>
    <w:p>
      <w:pPr>
        <w:snapToGrid w:val="0"/>
        <w:spacing w:line="52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本年财政拨款决算收入差异原因：（1）</w:t>
      </w:r>
      <w:r>
        <w:rPr>
          <w:rFonts w:hint="eastAsia" w:ascii="宋体" w:hAnsi="宋体" w:eastAsia="宋体"/>
          <w:sz w:val="32"/>
          <w:szCs w:val="32"/>
          <w:lang w:val="en-US" w:eastAsia="zh-CN"/>
        </w:rPr>
        <w:t>2021</w:t>
      </w:r>
      <w:r>
        <w:rPr>
          <w:rFonts w:hint="eastAsia" w:ascii="宋体" w:hAnsi="宋体" w:eastAsia="宋体"/>
          <w:sz w:val="32"/>
          <w:szCs w:val="32"/>
        </w:rPr>
        <w:t>年工作中产生了部分预算外的经费缺口，20</w:t>
      </w:r>
      <w:r>
        <w:rPr>
          <w:rFonts w:hint="eastAsia" w:ascii="宋体" w:hAnsi="宋体" w:eastAsia="宋体"/>
          <w:sz w:val="32"/>
          <w:szCs w:val="32"/>
          <w:lang w:val="en-US" w:eastAsia="zh-CN"/>
        </w:rPr>
        <w:t>21</w:t>
      </w:r>
      <w:r>
        <w:rPr>
          <w:rFonts w:hint="eastAsia" w:ascii="宋体" w:hAnsi="宋体" w:eastAsia="宋体"/>
          <w:sz w:val="32"/>
          <w:szCs w:val="32"/>
        </w:rPr>
        <w:t>年</w:t>
      </w:r>
      <w:r>
        <w:rPr>
          <w:rFonts w:hint="eastAsia" w:ascii="宋体" w:hAnsi="宋体" w:eastAsia="宋体"/>
          <w:sz w:val="32"/>
          <w:szCs w:val="32"/>
          <w:lang w:eastAsia="zh-CN"/>
        </w:rPr>
        <w:t>共</w:t>
      </w:r>
      <w:r>
        <w:rPr>
          <w:rFonts w:hint="eastAsia" w:ascii="宋体" w:hAnsi="宋体" w:eastAsia="宋体"/>
          <w:sz w:val="32"/>
          <w:szCs w:val="32"/>
        </w:rPr>
        <w:t>追加</w:t>
      </w:r>
      <w:r>
        <w:rPr>
          <w:rFonts w:hint="eastAsia" w:ascii="宋体" w:hAnsi="宋体" w:eastAsia="宋体"/>
          <w:sz w:val="32"/>
          <w:szCs w:val="32"/>
          <w:lang w:eastAsia="zh-CN"/>
        </w:rPr>
        <w:t>财政</w:t>
      </w:r>
      <w:r>
        <w:rPr>
          <w:rFonts w:hint="eastAsia" w:ascii="宋体" w:hAnsi="宋体" w:eastAsia="宋体"/>
          <w:sz w:val="32"/>
          <w:szCs w:val="32"/>
        </w:rPr>
        <w:t>预算</w:t>
      </w:r>
      <w:r>
        <w:rPr>
          <w:rFonts w:hint="eastAsia" w:ascii="宋体" w:hAnsi="宋体" w:eastAsia="宋体"/>
          <w:sz w:val="32"/>
          <w:szCs w:val="32"/>
          <w:lang w:val="en-US" w:eastAsia="zh-CN"/>
        </w:rPr>
        <w:t>45.56</w:t>
      </w:r>
      <w:r>
        <w:rPr>
          <w:rFonts w:hint="eastAsia" w:ascii="宋体" w:hAnsi="宋体" w:eastAsia="宋体"/>
          <w:sz w:val="32"/>
          <w:szCs w:val="32"/>
        </w:rPr>
        <w:t>万元</w:t>
      </w:r>
      <w:r>
        <w:rPr>
          <w:rFonts w:hint="eastAsia" w:ascii="宋体" w:hAnsi="宋体" w:eastAsia="宋体"/>
          <w:sz w:val="32"/>
          <w:szCs w:val="32"/>
          <w:lang w:eastAsia="zh-CN"/>
        </w:rPr>
        <w:t>。</w:t>
      </w:r>
    </w:p>
    <w:p>
      <w:pPr>
        <w:numPr>
          <w:ilvl w:val="0"/>
          <w:numId w:val="0"/>
        </w:numPr>
        <w:snapToGrid w:val="0"/>
        <w:spacing w:line="520" w:lineRule="exact"/>
        <w:rPr>
          <w:rFonts w:hint="eastAsia" w:ascii="宋体" w:hAnsi="宋体" w:eastAsia="宋体"/>
          <w:b/>
          <w:sz w:val="32"/>
          <w:szCs w:val="32"/>
          <w:lang w:eastAsia="zh-CN"/>
        </w:rPr>
      </w:pPr>
      <w:r>
        <w:rPr>
          <w:rFonts w:hint="eastAsia" w:ascii="宋体" w:hAnsi="宋体" w:eastAsia="宋体"/>
          <w:sz w:val="32"/>
          <w:szCs w:val="32"/>
        </w:rPr>
        <w:t>本年财政拨款决算支出差异原因：增加</w:t>
      </w:r>
      <w:r>
        <w:rPr>
          <w:rFonts w:hint="eastAsia" w:ascii="宋体" w:hAnsi="宋体" w:eastAsia="宋体"/>
          <w:sz w:val="32"/>
          <w:szCs w:val="32"/>
          <w:lang w:eastAsia="zh-CN"/>
        </w:rPr>
        <w:t>人员</w:t>
      </w:r>
      <w:r>
        <w:rPr>
          <w:rFonts w:hint="eastAsia" w:ascii="宋体" w:hAnsi="宋体" w:eastAsia="宋体"/>
          <w:sz w:val="32"/>
          <w:szCs w:val="32"/>
        </w:rPr>
        <w:t>经费支出</w:t>
      </w:r>
      <w:r>
        <w:rPr>
          <w:rFonts w:hint="eastAsia" w:ascii="宋体" w:hAnsi="宋体" w:eastAsia="宋体"/>
          <w:sz w:val="32"/>
          <w:szCs w:val="32"/>
          <w:lang w:eastAsia="zh-CN"/>
        </w:rPr>
        <w:t>。</w:t>
      </w:r>
    </w:p>
    <w:p>
      <w:pPr>
        <w:numPr>
          <w:ilvl w:val="0"/>
          <w:numId w:val="3"/>
        </w:numPr>
        <w:snapToGrid w:val="0"/>
        <w:spacing w:line="520" w:lineRule="exact"/>
        <w:ind w:left="0" w:leftChars="0" w:firstLine="643" w:firstLineChars="200"/>
        <w:rPr>
          <w:rFonts w:hint="eastAsia" w:ascii="宋体" w:hAnsi="宋体" w:eastAsia="宋体"/>
          <w:b/>
          <w:bCs w:val="0"/>
          <w:sz w:val="32"/>
          <w:szCs w:val="32"/>
        </w:rPr>
      </w:pPr>
      <w:r>
        <w:rPr>
          <w:rFonts w:hint="eastAsia" w:ascii="宋体" w:hAnsi="宋体" w:eastAsia="宋体"/>
          <w:b/>
          <w:bCs w:val="0"/>
          <w:sz w:val="32"/>
          <w:szCs w:val="32"/>
        </w:rPr>
        <w:t>收入支出结构分析。</w:t>
      </w:r>
    </w:p>
    <w:p>
      <w:pPr>
        <w:numPr>
          <w:ilvl w:val="0"/>
          <w:numId w:val="0"/>
        </w:numPr>
        <w:snapToGrid w:val="0"/>
        <w:spacing w:line="520" w:lineRule="exact"/>
        <w:rPr>
          <w:rFonts w:hint="eastAsia" w:ascii="宋体" w:hAnsi="宋体" w:eastAsia="宋体"/>
          <w:b w:val="0"/>
          <w:bCs/>
          <w:sz w:val="32"/>
          <w:szCs w:val="32"/>
        </w:rPr>
      </w:pPr>
      <w:r>
        <w:rPr>
          <w:rFonts w:hint="eastAsia" w:ascii="宋体" w:hAnsi="宋体" w:eastAsia="宋体"/>
          <w:b w:val="0"/>
          <w:bCs/>
          <w:sz w:val="32"/>
          <w:szCs w:val="32"/>
        </w:rPr>
        <w:t>各项收入占总收入的比重</w:t>
      </w:r>
      <w:r>
        <w:rPr>
          <w:rFonts w:hint="eastAsia" w:ascii="宋体" w:hAnsi="宋体" w:eastAsia="宋体"/>
          <w:b w:val="0"/>
          <w:bCs/>
          <w:sz w:val="32"/>
          <w:szCs w:val="32"/>
          <w:lang w:val="en-US" w:eastAsia="zh-CN"/>
        </w:rPr>
        <w:t>:</w:t>
      </w:r>
    </w:p>
    <w:p>
      <w:pPr>
        <w:widowControl w:val="0"/>
        <w:numPr>
          <w:ilvl w:val="0"/>
          <w:numId w:val="0"/>
        </w:numPr>
        <w:snapToGrid w:val="0"/>
        <w:spacing w:line="240" w:lineRule="auto"/>
        <w:jc w:val="both"/>
        <w:rPr>
          <w:rFonts w:hint="eastAsia" w:ascii="宋体" w:hAnsi="宋体" w:eastAsia="宋体"/>
          <w:b w:val="0"/>
          <w:bCs/>
          <w:sz w:val="32"/>
          <w:szCs w:val="32"/>
          <w:lang w:eastAsia="zh-CN"/>
        </w:rPr>
      </w:pPr>
      <w:r>
        <w:drawing>
          <wp:inline distT="0" distB="0" distL="114300" distR="114300">
            <wp:extent cx="4572000" cy="2742565"/>
            <wp:effectExtent l="4445" t="4445" r="14605" b="1524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0"/>
        </w:numPr>
        <w:snapToGrid w:val="0"/>
        <w:spacing w:line="520" w:lineRule="exact"/>
        <w:rPr>
          <w:rFonts w:hint="eastAsia" w:ascii="宋体" w:hAnsi="宋体" w:eastAsia="宋体"/>
          <w:b w:val="0"/>
          <w:bCs/>
          <w:sz w:val="32"/>
          <w:szCs w:val="32"/>
          <w:lang w:eastAsia="zh-CN"/>
        </w:rPr>
      </w:pPr>
      <w:r>
        <w:rPr>
          <w:rFonts w:hint="eastAsia" w:ascii="宋体" w:hAnsi="宋体" w:eastAsia="宋体"/>
          <w:b w:val="0"/>
          <w:bCs/>
          <w:sz w:val="32"/>
          <w:szCs w:val="32"/>
        </w:rPr>
        <w:t>各项支出占总支出的比重</w:t>
      </w:r>
      <w:r>
        <w:rPr>
          <w:rFonts w:hint="eastAsia" w:ascii="宋体" w:hAnsi="宋体" w:eastAsia="宋体"/>
          <w:b w:val="0"/>
          <w:bCs/>
          <w:sz w:val="32"/>
          <w:szCs w:val="32"/>
          <w:lang w:eastAsia="zh-CN"/>
        </w:rPr>
        <w:t>：</w:t>
      </w:r>
    </w:p>
    <w:p>
      <w:pPr>
        <w:widowControl w:val="0"/>
        <w:numPr>
          <w:ilvl w:val="0"/>
          <w:numId w:val="0"/>
        </w:numPr>
        <w:snapToGrid w:val="0"/>
        <w:spacing w:line="240" w:lineRule="auto"/>
        <w:jc w:val="both"/>
        <w:rPr>
          <w:rFonts w:hint="eastAsia" w:ascii="宋体" w:hAnsi="宋体" w:eastAsia="宋体"/>
          <w:b w:val="0"/>
          <w:bCs/>
          <w:sz w:val="32"/>
          <w:szCs w:val="32"/>
          <w:lang w:eastAsia="zh-CN"/>
        </w:rPr>
      </w:pPr>
      <w:r>
        <w:drawing>
          <wp:inline distT="0" distB="0" distL="114300" distR="114300">
            <wp:extent cx="4572000" cy="2742565"/>
            <wp:effectExtent l="4445" t="4445" r="1460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val="0"/>
        <w:numPr>
          <w:ilvl w:val="0"/>
          <w:numId w:val="0"/>
        </w:numPr>
        <w:snapToGrid w:val="0"/>
        <w:spacing w:line="240" w:lineRule="auto"/>
        <w:jc w:val="both"/>
        <w:rPr>
          <w:rFonts w:hint="eastAsia" w:ascii="宋体" w:hAnsi="宋体" w:eastAsia="宋体"/>
          <w:b w:val="0"/>
          <w:bCs/>
          <w:sz w:val="32"/>
          <w:szCs w:val="32"/>
          <w:lang w:eastAsia="zh-CN"/>
        </w:rPr>
      </w:pPr>
    </w:p>
    <w:p>
      <w:pPr>
        <w:widowControl w:val="0"/>
        <w:numPr>
          <w:ilvl w:val="0"/>
          <w:numId w:val="0"/>
        </w:numPr>
        <w:snapToGrid w:val="0"/>
        <w:spacing w:line="240" w:lineRule="auto"/>
        <w:jc w:val="both"/>
        <w:rPr>
          <w:rFonts w:hint="eastAsia" w:ascii="宋体" w:hAnsi="宋体" w:eastAsia="宋体"/>
          <w:b w:val="0"/>
          <w:bCs/>
          <w:sz w:val="32"/>
          <w:szCs w:val="32"/>
          <w:lang w:eastAsia="zh-CN"/>
        </w:rPr>
      </w:pPr>
    </w:p>
    <w:p>
      <w:pPr>
        <w:numPr>
          <w:ilvl w:val="0"/>
          <w:numId w:val="5"/>
        </w:numPr>
        <w:snapToGrid w:val="0"/>
        <w:spacing w:line="520" w:lineRule="exact"/>
        <w:rPr>
          <w:rFonts w:hint="eastAsia" w:ascii="宋体" w:hAnsi="宋体" w:eastAsia="宋体"/>
          <w:b w:val="0"/>
          <w:bCs/>
          <w:sz w:val="32"/>
          <w:szCs w:val="32"/>
        </w:rPr>
      </w:pPr>
      <w:r>
        <w:rPr>
          <w:rFonts w:hint="eastAsia" w:ascii="宋体" w:hAnsi="宋体" w:eastAsia="宋体"/>
          <w:b w:val="0"/>
          <w:bCs/>
          <w:sz w:val="32"/>
          <w:szCs w:val="32"/>
        </w:rPr>
        <w:t>收入支出与上年度对比情况及原因分析(可用柱形图或折线图)。</w:t>
      </w:r>
    </w:p>
    <w:p>
      <w:pPr>
        <w:numPr>
          <w:ilvl w:val="0"/>
          <w:numId w:val="0"/>
        </w:numPr>
        <w:snapToGrid w:val="0"/>
        <w:spacing w:line="240" w:lineRule="auto"/>
        <w:rPr>
          <w:rFonts w:hint="eastAsia" w:ascii="宋体" w:hAnsi="宋体" w:eastAsia="宋体"/>
          <w:b w:val="0"/>
          <w:bCs/>
          <w:sz w:val="32"/>
          <w:szCs w:val="32"/>
          <w:lang w:eastAsia="zh-CN"/>
        </w:rPr>
      </w:pPr>
    </w:p>
    <w:p>
      <w:pPr>
        <w:numPr>
          <w:ilvl w:val="0"/>
          <w:numId w:val="0"/>
        </w:numPr>
        <w:snapToGrid w:val="0"/>
        <w:spacing w:line="240" w:lineRule="auto"/>
        <w:rPr>
          <w:rFonts w:hint="eastAsia" w:ascii="宋体" w:hAnsi="宋体" w:eastAsia="宋体"/>
          <w:b w:val="0"/>
          <w:bCs/>
          <w:sz w:val="32"/>
          <w:szCs w:val="32"/>
          <w:lang w:eastAsia="zh-CN"/>
        </w:rPr>
      </w:pPr>
      <w:r>
        <w:drawing>
          <wp:inline distT="0" distB="0" distL="114300" distR="114300">
            <wp:extent cx="5267325" cy="2743200"/>
            <wp:effectExtent l="4445" t="4445" r="5080"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spacing w:line="520" w:lineRule="exact"/>
        <w:rPr>
          <w:rFonts w:hint="eastAsia" w:ascii="宋体" w:hAnsi="宋体" w:eastAsia="宋体"/>
          <w:b w:val="0"/>
          <w:bCs/>
          <w:sz w:val="32"/>
          <w:szCs w:val="32"/>
        </w:rPr>
      </w:pPr>
    </w:p>
    <w:p>
      <w:pPr>
        <w:snapToGrid w:val="0"/>
        <w:spacing w:line="520" w:lineRule="exact"/>
        <w:ind w:firstLine="643" w:firstLineChars="200"/>
        <w:rPr>
          <w:rFonts w:hint="eastAsia" w:ascii="宋体" w:hAnsi="宋体" w:eastAsia="宋体"/>
          <w:b/>
          <w:bCs w:val="0"/>
          <w:sz w:val="32"/>
          <w:szCs w:val="32"/>
        </w:rPr>
      </w:pPr>
      <w:r>
        <w:rPr>
          <w:rFonts w:hint="eastAsia" w:ascii="宋体" w:hAnsi="宋体" w:eastAsia="宋体"/>
          <w:b/>
          <w:bCs w:val="0"/>
          <w:sz w:val="32"/>
          <w:szCs w:val="32"/>
        </w:rPr>
        <w:t>3．支出按经济分类科目分析。</w:t>
      </w:r>
    </w:p>
    <w:p>
      <w:pPr>
        <w:snapToGrid w:val="0"/>
        <w:spacing w:line="520" w:lineRule="exact"/>
        <w:ind w:firstLine="640" w:firstLineChars="200"/>
        <w:rPr>
          <w:rFonts w:hint="eastAsia" w:ascii="宋体" w:hAnsi="宋体" w:eastAsia="宋体"/>
          <w:b w:val="0"/>
          <w:bCs/>
          <w:sz w:val="32"/>
          <w:szCs w:val="32"/>
        </w:rPr>
      </w:pPr>
      <w:r>
        <w:rPr>
          <w:rFonts w:hint="eastAsia" w:ascii="宋体" w:hAnsi="宋体" w:eastAsia="宋体"/>
          <w:b w:val="0"/>
          <w:bCs/>
          <w:sz w:val="32"/>
          <w:szCs w:val="32"/>
        </w:rPr>
        <w:t>（1）“三公”经费支出情况：</w:t>
      </w:r>
    </w:p>
    <w:p>
      <w:pPr>
        <w:snapToGrid w:val="0"/>
        <w:spacing w:line="520" w:lineRule="exact"/>
        <w:ind w:firstLine="1680" w:firstLineChars="800"/>
        <w:jc w:val="right"/>
        <w:rPr>
          <w:rFonts w:hint="eastAsia" w:ascii="宋体" w:hAnsi="宋体" w:eastAsia="宋体"/>
          <w:b w:val="0"/>
          <w:bCs/>
          <w:sz w:val="21"/>
          <w:szCs w:val="21"/>
          <w:lang w:eastAsia="zh-CN"/>
        </w:rPr>
      </w:pPr>
      <w:r>
        <w:rPr>
          <w:rFonts w:hint="eastAsia" w:ascii="宋体" w:hAnsi="宋体" w:eastAsia="宋体"/>
          <w:b w:val="0"/>
          <w:bCs/>
          <w:sz w:val="21"/>
          <w:szCs w:val="21"/>
          <w:lang w:eastAsia="zh-CN"/>
        </w:rPr>
        <w:t>单位：万元</w:t>
      </w:r>
    </w:p>
    <w:tbl>
      <w:tblPr>
        <w:tblStyle w:val="10"/>
        <w:tblW w:w="9229" w:type="dxa"/>
        <w:tblInd w:w="0" w:type="dxa"/>
        <w:tblLayout w:type="fixed"/>
        <w:tblCellMar>
          <w:top w:w="15" w:type="dxa"/>
          <w:left w:w="15" w:type="dxa"/>
          <w:bottom w:w="15" w:type="dxa"/>
          <w:right w:w="15" w:type="dxa"/>
        </w:tblCellMar>
      </w:tblPr>
      <w:tblGrid>
        <w:gridCol w:w="2000"/>
        <w:gridCol w:w="2551"/>
        <w:gridCol w:w="2835"/>
        <w:gridCol w:w="1843"/>
      </w:tblGrid>
      <w:tr>
        <w:tblPrEx>
          <w:tblCellMar>
            <w:top w:w="15" w:type="dxa"/>
            <w:left w:w="15" w:type="dxa"/>
            <w:bottom w:w="15" w:type="dxa"/>
            <w:right w:w="15" w:type="dxa"/>
          </w:tblCellMar>
        </w:tblPrEx>
        <w:trPr>
          <w:trHeight w:val="312"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预算（三公经费）收入</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本年（三公经费）支出</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差异</w:t>
            </w:r>
          </w:p>
        </w:tc>
      </w:tr>
      <w:tr>
        <w:tblPrEx>
          <w:tblCellMar>
            <w:top w:w="15" w:type="dxa"/>
            <w:left w:w="15" w:type="dxa"/>
            <w:bottom w:w="15" w:type="dxa"/>
            <w:right w:w="15" w:type="dxa"/>
          </w:tblCellMar>
        </w:tblPrEx>
        <w:trPr>
          <w:trHeight w:val="31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312"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15" w:type="dxa"/>
            <w:left w:w="15" w:type="dxa"/>
            <w:bottom w:w="15" w:type="dxa"/>
            <w:right w:w="15" w:type="dxa"/>
          </w:tblCellMar>
        </w:tblPrEx>
        <w:trPr>
          <w:trHeight w:val="270"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20</w:t>
            </w:r>
            <w:r>
              <w:rPr>
                <w:rFonts w:hint="eastAsia" w:ascii="宋体" w:hAnsi="宋体" w:eastAsia="宋体" w:cs="宋体"/>
                <w:color w:val="000000"/>
                <w:kern w:val="0"/>
                <w:sz w:val="20"/>
                <w:szCs w:val="20"/>
                <w:lang w:val="en-US" w:eastAsia="zh-CN"/>
              </w:rPr>
              <w:t>20</w:t>
            </w:r>
            <w:r>
              <w:rPr>
                <w:rFonts w:hint="eastAsia" w:ascii="宋体" w:hAnsi="宋体" w:eastAsia="宋体" w:cs="宋体"/>
                <w:color w:val="000000"/>
                <w:kern w:val="0"/>
                <w:sz w:val="20"/>
                <w:szCs w:val="20"/>
              </w:rPr>
              <w:t>年度</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r>
      <w:tr>
        <w:tblPrEx>
          <w:tblCellMar>
            <w:top w:w="15" w:type="dxa"/>
            <w:left w:w="15" w:type="dxa"/>
            <w:bottom w:w="15" w:type="dxa"/>
            <w:right w:w="15" w:type="dxa"/>
          </w:tblCellMar>
        </w:tblPrEx>
        <w:trPr>
          <w:trHeight w:val="270"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20</w:t>
            </w:r>
            <w:r>
              <w:rPr>
                <w:rFonts w:hint="eastAsia" w:ascii="宋体" w:hAnsi="宋体" w:eastAsia="宋体" w:cs="宋体"/>
                <w:color w:val="000000"/>
                <w:kern w:val="0"/>
                <w:sz w:val="20"/>
                <w:szCs w:val="20"/>
                <w:lang w:val="en-US" w:eastAsia="zh-CN"/>
              </w:rPr>
              <w:t>21</w:t>
            </w:r>
            <w:r>
              <w:rPr>
                <w:rFonts w:hint="eastAsia" w:ascii="宋体" w:hAnsi="宋体" w:eastAsia="宋体" w:cs="宋体"/>
                <w:color w:val="000000"/>
                <w:kern w:val="0"/>
                <w:sz w:val="20"/>
                <w:szCs w:val="20"/>
              </w:rPr>
              <w:t>年度</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Arial"/>
                <w:color w:val="000000"/>
                <w:sz w:val="20"/>
                <w:szCs w:val="20"/>
                <w:lang w:eastAsia="zh-CN"/>
              </w:rPr>
            </w:pPr>
            <w:r>
              <w:rPr>
                <w:rFonts w:hint="eastAsia" w:ascii="宋体" w:hAnsi="宋体" w:eastAsia="宋体" w:cs="Arial"/>
                <w:color w:val="000000"/>
                <w:sz w:val="20"/>
                <w:szCs w:val="20"/>
                <w:lang w:val="en-US"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-2</w:t>
            </w:r>
          </w:p>
        </w:tc>
      </w:tr>
      <w:tr>
        <w:tblPrEx>
          <w:tblCellMar>
            <w:top w:w="15" w:type="dxa"/>
            <w:left w:w="15" w:type="dxa"/>
            <w:bottom w:w="15" w:type="dxa"/>
            <w:right w:w="15" w:type="dxa"/>
          </w:tblCellMar>
        </w:tblPrEx>
        <w:trPr>
          <w:trHeight w:val="285"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差异</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Arial"/>
                <w:color w:val="000000"/>
                <w:sz w:val="20"/>
                <w:szCs w:val="20"/>
                <w:lang w:eastAsia="zh-CN"/>
              </w:rPr>
            </w:pPr>
            <w:r>
              <w:rPr>
                <w:rFonts w:hint="eastAsia" w:ascii="宋体" w:hAnsi="宋体" w:eastAsia="宋体" w:cs="Arial"/>
                <w:color w:val="000000"/>
                <w:sz w:val="20"/>
                <w:szCs w:val="20"/>
                <w:lang w:val="en-US" w:eastAsia="zh-CN"/>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Arial"/>
                <w:color w:val="000000"/>
                <w:sz w:val="20"/>
                <w:szCs w:val="20"/>
              </w:rPr>
            </w:pPr>
          </w:p>
        </w:tc>
      </w:tr>
    </w:tbl>
    <w:p>
      <w:pPr>
        <w:snapToGrid w:val="0"/>
        <w:spacing w:line="520" w:lineRule="exact"/>
        <w:ind w:firstLine="640" w:firstLineChars="200"/>
        <w:rPr>
          <w:rFonts w:hint="eastAsia" w:ascii="宋体" w:hAnsi="宋体" w:eastAsia="宋体"/>
          <w:b w:val="0"/>
          <w:bCs/>
          <w:sz w:val="32"/>
          <w:szCs w:val="32"/>
        </w:rPr>
      </w:pPr>
      <w:r>
        <w:rPr>
          <w:rFonts w:hint="eastAsia" w:ascii="宋体" w:hAnsi="宋体" w:eastAsia="宋体" w:cs="仿宋_GB2312"/>
          <w:sz w:val="32"/>
          <w:szCs w:val="32"/>
        </w:rPr>
        <w:t>差异原因：20</w:t>
      </w:r>
      <w:r>
        <w:rPr>
          <w:rFonts w:hint="eastAsia" w:ascii="宋体" w:hAnsi="宋体" w:eastAsia="宋体" w:cs="仿宋_GB2312"/>
          <w:sz w:val="32"/>
          <w:szCs w:val="32"/>
          <w:lang w:val="en-US" w:eastAsia="zh-CN"/>
        </w:rPr>
        <w:t>21</w:t>
      </w:r>
      <w:r>
        <w:rPr>
          <w:rFonts w:hint="eastAsia" w:ascii="宋体" w:hAnsi="宋体" w:eastAsia="宋体" w:cs="仿宋_GB2312"/>
          <w:sz w:val="32"/>
          <w:szCs w:val="32"/>
        </w:rPr>
        <w:t>年</w:t>
      </w:r>
      <w:r>
        <w:rPr>
          <w:rFonts w:hint="eastAsia" w:ascii="宋体" w:hAnsi="宋体" w:eastAsia="宋体" w:cs="仿宋_GB2312"/>
          <w:sz w:val="32"/>
          <w:szCs w:val="32"/>
          <w:lang w:eastAsia="zh-CN"/>
        </w:rPr>
        <w:t>实际未发生三公经费支出</w:t>
      </w:r>
      <w:r>
        <w:rPr>
          <w:rFonts w:hint="eastAsia" w:ascii="宋体" w:hAnsi="宋体" w:eastAsia="宋体" w:cs="仿宋_GB2312"/>
          <w:sz w:val="32"/>
          <w:szCs w:val="32"/>
        </w:rPr>
        <w:t>。</w:t>
      </w:r>
    </w:p>
    <w:p>
      <w:pPr>
        <w:snapToGrid w:val="0"/>
        <w:spacing w:line="520" w:lineRule="exact"/>
        <w:ind w:firstLine="640" w:firstLineChars="200"/>
        <w:rPr>
          <w:rFonts w:hint="eastAsia" w:ascii="宋体" w:hAnsi="宋体" w:eastAsia="宋体"/>
          <w:b w:val="0"/>
          <w:bCs/>
          <w:sz w:val="32"/>
          <w:szCs w:val="32"/>
          <w:lang w:eastAsia="zh-CN"/>
        </w:rPr>
      </w:pPr>
      <w:r>
        <w:rPr>
          <w:rFonts w:hint="eastAsia" w:ascii="宋体" w:hAnsi="宋体" w:eastAsia="宋体"/>
          <w:b w:val="0"/>
          <w:bCs/>
          <w:sz w:val="32"/>
          <w:szCs w:val="32"/>
        </w:rPr>
        <w:t>（2）会议费支出情况：</w:t>
      </w:r>
      <w:r>
        <w:rPr>
          <w:rFonts w:hint="eastAsia" w:ascii="宋体" w:hAnsi="宋体" w:eastAsia="宋体"/>
          <w:b w:val="0"/>
          <w:bCs/>
          <w:sz w:val="32"/>
          <w:szCs w:val="32"/>
          <w:lang w:eastAsia="zh-CN"/>
        </w:rPr>
        <w:t>无支出</w:t>
      </w:r>
    </w:p>
    <w:p>
      <w:pPr>
        <w:snapToGrid w:val="0"/>
        <w:spacing w:line="520" w:lineRule="exact"/>
        <w:ind w:firstLine="640" w:firstLineChars="200"/>
        <w:rPr>
          <w:rFonts w:hint="eastAsia" w:ascii="宋体" w:hAnsi="宋体" w:eastAsia="宋体"/>
          <w:b w:val="0"/>
          <w:bCs/>
          <w:sz w:val="32"/>
          <w:szCs w:val="32"/>
          <w:lang w:eastAsia="zh-CN"/>
        </w:rPr>
      </w:pPr>
      <w:r>
        <w:rPr>
          <w:rFonts w:hint="eastAsia" w:ascii="宋体" w:hAnsi="宋体" w:eastAsia="宋体"/>
          <w:b w:val="0"/>
          <w:bCs/>
          <w:sz w:val="32"/>
          <w:szCs w:val="32"/>
        </w:rPr>
        <w:t>（3）培训费支出情况：</w:t>
      </w:r>
      <w:r>
        <w:rPr>
          <w:rFonts w:hint="eastAsia" w:ascii="宋体" w:hAnsi="宋体" w:eastAsia="宋体"/>
          <w:b w:val="0"/>
          <w:bCs/>
          <w:sz w:val="32"/>
          <w:szCs w:val="32"/>
          <w:lang w:eastAsia="zh-CN"/>
        </w:rPr>
        <w:t>无支出</w:t>
      </w:r>
    </w:p>
    <w:p>
      <w:pPr>
        <w:snapToGrid w:val="0"/>
        <w:spacing w:line="520" w:lineRule="exact"/>
        <w:ind w:firstLine="643" w:firstLineChars="200"/>
        <w:rPr>
          <w:rFonts w:hint="eastAsia" w:ascii="宋体" w:hAnsi="宋体" w:eastAsia="宋体"/>
          <w:b/>
          <w:sz w:val="32"/>
          <w:szCs w:val="32"/>
        </w:rPr>
      </w:pPr>
      <w:r>
        <w:rPr>
          <w:rFonts w:hint="eastAsia" w:ascii="宋体" w:hAnsi="宋体" w:eastAsia="宋体"/>
          <w:b/>
          <w:sz w:val="32"/>
          <w:szCs w:val="32"/>
        </w:rPr>
        <w:t>4.财政拨款收入、支出分析。</w:t>
      </w:r>
    </w:p>
    <w:p>
      <w:pPr>
        <w:snapToGrid w:val="0"/>
        <w:spacing w:line="520" w:lineRule="exact"/>
        <w:ind w:firstLine="640" w:firstLineChars="200"/>
        <w:rPr>
          <w:rFonts w:hint="eastAsia" w:ascii="宋体" w:hAnsi="宋体" w:eastAsia="宋体"/>
          <w:b/>
          <w:sz w:val="32"/>
          <w:szCs w:val="32"/>
        </w:rPr>
      </w:pPr>
      <w:r>
        <w:rPr>
          <w:rFonts w:hint="eastAsia" w:ascii="宋体" w:hAnsi="宋体" w:eastAsia="宋体"/>
          <w:sz w:val="32"/>
          <w:szCs w:val="32"/>
        </w:rPr>
        <w:t>20</w:t>
      </w:r>
      <w:r>
        <w:rPr>
          <w:rFonts w:hint="eastAsia" w:ascii="宋体" w:hAnsi="宋体" w:eastAsia="宋体"/>
          <w:sz w:val="32"/>
          <w:szCs w:val="32"/>
          <w:lang w:val="en-US" w:eastAsia="zh-CN"/>
        </w:rPr>
        <w:t>21</w:t>
      </w:r>
      <w:r>
        <w:rPr>
          <w:rFonts w:hint="eastAsia" w:ascii="宋体" w:hAnsi="宋体" w:eastAsia="宋体"/>
          <w:sz w:val="32"/>
          <w:szCs w:val="32"/>
        </w:rPr>
        <w:t>年财政拨款收入决算数</w:t>
      </w:r>
      <w:r>
        <w:rPr>
          <w:rFonts w:hint="eastAsia" w:ascii="宋体" w:hAnsi="宋体" w:eastAsia="宋体"/>
          <w:sz w:val="32"/>
          <w:szCs w:val="32"/>
          <w:lang w:val="en-US" w:eastAsia="zh-CN"/>
        </w:rPr>
        <w:t>351.74</w:t>
      </w:r>
      <w:r>
        <w:rPr>
          <w:rFonts w:hint="eastAsia" w:ascii="宋体" w:hAnsi="宋体" w:eastAsia="宋体"/>
          <w:sz w:val="32"/>
          <w:szCs w:val="32"/>
        </w:rPr>
        <w:t>万元，</w:t>
      </w:r>
      <w:r>
        <w:rPr>
          <w:rFonts w:hint="eastAsia" w:ascii="宋体" w:hAnsi="宋体" w:eastAsia="宋体"/>
          <w:sz w:val="32"/>
          <w:szCs w:val="32"/>
          <w:lang w:val="en-US" w:eastAsia="zh-CN"/>
        </w:rPr>
        <w:t>2021</w:t>
      </w:r>
      <w:r>
        <w:rPr>
          <w:rFonts w:hint="eastAsia" w:ascii="宋体" w:hAnsi="宋体" w:eastAsia="宋体"/>
          <w:sz w:val="32"/>
          <w:szCs w:val="32"/>
        </w:rPr>
        <w:t>年</w:t>
      </w:r>
      <w:r>
        <w:rPr>
          <w:rFonts w:hint="eastAsia" w:ascii="宋体" w:hAnsi="宋体" w:eastAsia="宋体"/>
          <w:sz w:val="32"/>
          <w:szCs w:val="32"/>
          <w:lang w:eastAsia="zh-CN"/>
        </w:rPr>
        <w:t>财政拨款</w:t>
      </w:r>
      <w:r>
        <w:rPr>
          <w:rFonts w:hint="eastAsia" w:ascii="宋体" w:hAnsi="宋体" w:eastAsia="宋体"/>
          <w:sz w:val="32"/>
          <w:szCs w:val="32"/>
        </w:rPr>
        <w:t>支出决算数</w:t>
      </w:r>
      <w:r>
        <w:rPr>
          <w:rFonts w:hint="eastAsia" w:ascii="宋体" w:hAnsi="宋体" w:eastAsia="宋体"/>
          <w:sz w:val="32"/>
          <w:szCs w:val="32"/>
          <w:lang w:val="en-US" w:eastAsia="zh-CN"/>
        </w:rPr>
        <w:t>351.74</w:t>
      </w:r>
      <w:r>
        <w:rPr>
          <w:rFonts w:hint="eastAsia" w:ascii="宋体" w:hAnsi="宋体" w:eastAsia="宋体"/>
          <w:sz w:val="32"/>
          <w:szCs w:val="32"/>
        </w:rPr>
        <w:t>万元，</w:t>
      </w:r>
      <w:r>
        <w:rPr>
          <w:rFonts w:hint="eastAsia" w:ascii="宋体" w:hAnsi="宋体" w:eastAsia="宋体"/>
          <w:sz w:val="32"/>
          <w:szCs w:val="32"/>
          <w:lang w:eastAsia="zh-CN"/>
        </w:rPr>
        <w:t>其中：基本支出</w:t>
      </w:r>
      <w:r>
        <w:rPr>
          <w:rFonts w:hint="eastAsia" w:ascii="宋体" w:hAnsi="宋体" w:eastAsia="宋体"/>
          <w:sz w:val="32"/>
          <w:szCs w:val="32"/>
          <w:lang w:val="en-US" w:eastAsia="zh-CN"/>
        </w:rPr>
        <w:t>326.74万元，项目支出25万元。</w:t>
      </w:r>
    </w:p>
    <w:p>
      <w:pPr>
        <w:snapToGrid w:val="0"/>
        <w:spacing w:line="520" w:lineRule="exact"/>
        <w:ind w:firstLine="643" w:firstLineChars="200"/>
        <w:rPr>
          <w:rFonts w:hint="eastAsia" w:ascii="宋体" w:hAnsi="宋体" w:eastAsia="宋体"/>
          <w:b/>
          <w:sz w:val="32"/>
          <w:szCs w:val="32"/>
        </w:rPr>
      </w:pPr>
      <w:r>
        <w:rPr>
          <w:rFonts w:hint="eastAsia" w:ascii="宋体" w:hAnsi="宋体" w:eastAsia="宋体"/>
          <w:b/>
          <w:sz w:val="32"/>
          <w:szCs w:val="32"/>
        </w:rPr>
        <w:t>（三）年末结转和结余情况。</w:t>
      </w:r>
    </w:p>
    <w:p>
      <w:pPr>
        <w:snapToGrid w:val="0"/>
        <w:spacing w:line="520" w:lineRule="exact"/>
        <w:ind w:firstLine="640" w:firstLineChars="200"/>
        <w:rPr>
          <w:rFonts w:ascii="宋体" w:hAnsi="宋体" w:eastAsia="宋体"/>
          <w:sz w:val="32"/>
          <w:szCs w:val="32"/>
        </w:rPr>
      </w:pPr>
      <w:r>
        <w:rPr>
          <w:rFonts w:hint="eastAsia" w:ascii="宋体" w:hAnsi="宋体" w:eastAsia="宋体"/>
          <w:sz w:val="32"/>
          <w:szCs w:val="32"/>
        </w:rPr>
        <w:t>分资金来源、资金性质结转和结余情况：</w:t>
      </w:r>
    </w:p>
    <w:p>
      <w:pPr>
        <w:snapToGrid w:val="0"/>
        <w:spacing w:line="520" w:lineRule="exact"/>
        <w:ind w:firstLine="640" w:firstLineChars="200"/>
        <w:rPr>
          <w:rFonts w:ascii="宋体" w:hAnsi="宋体" w:eastAsia="宋体"/>
          <w:sz w:val="32"/>
          <w:szCs w:val="32"/>
        </w:rPr>
      </w:pPr>
      <w:r>
        <w:rPr>
          <w:rFonts w:hint="eastAsia" w:ascii="宋体" w:hAnsi="宋体" w:eastAsia="宋体" w:cs="仿宋_GB2312"/>
          <w:sz w:val="32"/>
          <w:szCs w:val="32"/>
        </w:rPr>
        <w:t>20</w:t>
      </w:r>
      <w:r>
        <w:rPr>
          <w:rFonts w:hint="eastAsia" w:ascii="宋体" w:hAnsi="宋体" w:eastAsia="宋体" w:cs="仿宋_GB2312"/>
          <w:sz w:val="32"/>
          <w:szCs w:val="32"/>
          <w:lang w:val="en-US" w:eastAsia="zh-CN"/>
        </w:rPr>
        <w:t>21</w:t>
      </w:r>
      <w:r>
        <w:rPr>
          <w:rFonts w:hint="eastAsia" w:ascii="宋体" w:hAnsi="宋体" w:eastAsia="宋体" w:cs="仿宋_GB2312"/>
          <w:sz w:val="32"/>
          <w:szCs w:val="32"/>
        </w:rPr>
        <w:t>年末结转和结余</w:t>
      </w:r>
      <w:r>
        <w:rPr>
          <w:rFonts w:hint="eastAsia" w:ascii="宋体" w:hAnsi="宋体" w:eastAsia="宋体" w:cs="仿宋_GB2312"/>
          <w:sz w:val="32"/>
          <w:szCs w:val="32"/>
          <w:lang w:val="en-US" w:eastAsia="zh-CN"/>
        </w:rPr>
        <w:t>0</w:t>
      </w:r>
      <w:r>
        <w:rPr>
          <w:rFonts w:hint="eastAsia" w:ascii="宋体" w:hAnsi="宋体" w:eastAsia="宋体" w:cs="仿宋_GB2312"/>
          <w:sz w:val="32"/>
          <w:szCs w:val="32"/>
        </w:rPr>
        <w:t>万元。</w:t>
      </w:r>
    </w:p>
    <w:p>
      <w:pPr>
        <w:numPr>
          <w:ilvl w:val="0"/>
          <w:numId w:val="6"/>
        </w:numPr>
        <w:snapToGrid w:val="0"/>
        <w:spacing w:line="520" w:lineRule="exact"/>
        <w:ind w:firstLine="643" w:firstLineChars="200"/>
        <w:rPr>
          <w:rFonts w:hint="eastAsia" w:ascii="宋体" w:hAnsi="宋体" w:eastAsia="宋体"/>
          <w:b/>
          <w:sz w:val="32"/>
          <w:szCs w:val="32"/>
        </w:rPr>
      </w:pPr>
      <w:r>
        <w:rPr>
          <w:rFonts w:hint="eastAsia" w:ascii="宋体" w:hAnsi="宋体" w:eastAsia="宋体"/>
          <w:b/>
          <w:sz w:val="32"/>
          <w:szCs w:val="32"/>
        </w:rPr>
        <w:t>与预算支出相关的其他指标分析。</w:t>
      </w:r>
    </w:p>
    <w:p>
      <w:pPr>
        <w:snapToGrid w:val="0"/>
        <w:spacing w:line="520" w:lineRule="exact"/>
        <w:ind w:firstLine="640" w:firstLineChars="200"/>
        <w:rPr>
          <w:rFonts w:hint="eastAsia" w:ascii="宋体" w:hAnsi="宋体" w:eastAsia="宋体"/>
          <w:b/>
          <w:sz w:val="32"/>
          <w:szCs w:val="32"/>
        </w:rPr>
      </w:pPr>
      <w:r>
        <w:rPr>
          <w:rFonts w:hint="eastAsia" w:ascii="宋体" w:hAnsi="宋体" w:eastAsia="宋体"/>
          <w:sz w:val="32"/>
          <w:szCs w:val="32"/>
        </w:rPr>
        <w:t>20</w:t>
      </w:r>
      <w:r>
        <w:rPr>
          <w:rFonts w:hint="eastAsia" w:ascii="宋体" w:hAnsi="宋体" w:eastAsia="宋体"/>
          <w:sz w:val="32"/>
          <w:szCs w:val="32"/>
          <w:lang w:val="en-US" w:eastAsia="zh-CN"/>
        </w:rPr>
        <w:t>21</w:t>
      </w:r>
      <w:r>
        <w:rPr>
          <w:rFonts w:hint="eastAsia" w:ascii="宋体" w:hAnsi="宋体" w:eastAsia="宋体"/>
          <w:sz w:val="32"/>
          <w:szCs w:val="32"/>
        </w:rPr>
        <w:t>年末本部门总资产</w:t>
      </w:r>
      <w:r>
        <w:rPr>
          <w:rFonts w:hint="eastAsia" w:ascii="宋体" w:hAnsi="宋体" w:eastAsia="宋体"/>
          <w:sz w:val="32"/>
          <w:szCs w:val="32"/>
          <w:lang w:val="en-US" w:eastAsia="zh-CN"/>
        </w:rPr>
        <w:t>19.02</w:t>
      </w:r>
      <w:r>
        <w:rPr>
          <w:rFonts w:hint="eastAsia" w:ascii="宋体" w:hAnsi="宋体" w:eastAsia="宋体"/>
          <w:sz w:val="32"/>
          <w:szCs w:val="32"/>
        </w:rPr>
        <w:t>万元，较上年</w:t>
      </w:r>
      <w:r>
        <w:rPr>
          <w:rFonts w:hint="eastAsia" w:ascii="宋体" w:hAnsi="宋体" w:eastAsia="宋体"/>
          <w:sz w:val="32"/>
          <w:szCs w:val="32"/>
          <w:lang w:eastAsia="zh-CN"/>
        </w:rPr>
        <w:t>增加</w:t>
      </w:r>
      <w:r>
        <w:rPr>
          <w:rFonts w:hint="eastAsia" w:ascii="宋体" w:hAnsi="宋体" w:eastAsia="宋体"/>
          <w:sz w:val="32"/>
          <w:szCs w:val="32"/>
          <w:lang w:val="en-US" w:eastAsia="zh-CN"/>
        </w:rPr>
        <w:t>0.2万元，增加</w:t>
      </w:r>
      <w:r>
        <w:rPr>
          <w:rFonts w:hint="eastAsia" w:ascii="宋体" w:hAnsi="宋体" w:eastAsia="宋体"/>
          <w:sz w:val="32"/>
          <w:szCs w:val="32"/>
        </w:rPr>
        <w:t>了</w:t>
      </w:r>
      <w:r>
        <w:rPr>
          <w:rFonts w:hint="eastAsia" w:ascii="宋体" w:hAnsi="宋体" w:eastAsia="宋体"/>
          <w:sz w:val="32"/>
          <w:szCs w:val="32"/>
          <w:lang w:val="en-US" w:eastAsia="zh-CN"/>
        </w:rPr>
        <w:t>1.04%，主要原因：固定资产增加。</w:t>
      </w:r>
      <w:r>
        <w:rPr>
          <w:rFonts w:hint="eastAsia" w:ascii="宋体" w:hAnsi="宋体" w:eastAsia="宋体"/>
          <w:sz w:val="32"/>
          <w:szCs w:val="32"/>
          <w:lang w:eastAsia="zh-CN"/>
        </w:rPr>
        <w:t>总</w:t>
      </w:r>
      <w:r>
        <w:rPr>
          <w:rFonts w:hint="eastAsia" w:ascii="宋体" w:hAnsi="宋体" w:eastAsia="宋体"/>
          <w:sz w:val="32"/>
          <w:szCs w:val="32"/>
        </w:rPr>
        <w:t>负债</w:t>
      </w:r>
      <w:r>
        <w:rPr>
          <w:rFonts w:hint="eastAsia" w:ascii="宋体" w:hAnsi="宋体" w:eastAsia="宋体"/>
          <w:sz w:val="32"/>
          <w:szCs w:val="32"/>
          <w:lang w:val="en-US" w:eastAsia="zh-CN"/>
        </w:rPr>
        <w:t>10.14</w:t>
      </w:r>
      <w:r>
        <w:rPr>
          <w:rFonts w:hint="eastAsia" w:ascii="宋体" w:hAnsi="宋体" w:eastAsia="宋体"/>
          <w:sz w:val="32"/>
          <w:szCs w:val="32"/>
        </w:rPr>
        <w:t>万元，较上年</w:t>
      </w:r>
      <w:r>
        <w:rPr>
          <w:rFonts w:hint="eastAsia" w:ascii="宋体" w:hAnsi="宋体" w:eastAsia="宋体"/>
          <w:sz w:val="32"/>
          <w:szCs w:val="32"/>
          <w:lang w:eastAsia="zh-CN"/>
        </w:rPr>
        <w:t>增加</w:t>
      </w:r>
      <w:r>
        <w:rPr>
          <w:rFonts w:hint="eastAsia" w:ascii="宋体" w:hAnsi="宋体" w:eastAsia="宋体"/>
          <w:sz w:val="32"/>
          <w:szCs w:val="32"/>
          <w:lang w:val="en-US" w:eastAsia="zh-CN"/>
        </w:rPr>
        <w:t>9.25万元，</w:t>
      </w:r>
      <w:r>
        <w:rPr>
          <w:rFonts w:hint="eastAsia" w:ascii="宋体" w:hAnsi="宋体" w:eastAsia="宋体"/>
          <w:sz w:val="32"/>
          <w:szCs w:val="32"/>
          <w:lang w:eastAsia="zh-CN"/>
        </w:rPr>
        <w:t>增加</w:t>
      </w:r>
      <w:r>
        <w:rPr>
          <w:rFonts w:hint="eastAsia" w:ascii="宋体" w:hAnsi="宋体" w:eastAsia="宋体"/>
          <w:sz w:val="32"/>
          <w:szCs w:val="32"/>
        </w:rPr>
        <w:t>了</w:t>
      </w:r>
      <w:r>
        <w:rPr>
          <w:rFonts w:hint="eastAsia" w:ascii="宋体" w:hAnsi="宋体" w:eastAsia="宋体"/>
          <w:sz w:val="32"/>
          <w:szCs w:val="32"/>
          <w:lang w:val="en-US" w:eastAsia="zh-CN"/>
        </w:rPr>
        <w:t>1039.33%，主要原因：代扣个人职业年金</w:t>
      </w:r>
      <w:r>
        <w:rPr>
          <w:rFonts w:hint="eastAsia" w:ascii="宋体" w:hAnsi="宋体" w:eastAsia="宋体"/>
          <w:sz w:val="32"/>
          <w:szCs w:val="32"/>
        </w:rPr>
        <w:t>。</w:t>
      </w:r>
      <w:r>
        <w:rPr>
          <w:rFonts w:hint="eastAsia" w:ascii="宋体" w:hAnsi="宋体" w:eastAsia="宋体" w:cs="仿宋_GB2312"/>
          <w:sz w:val="32"/>
          <w:szCs w:val="32"/>
        </w:rPr>
        <w:t xml:space="preserve">   </w:t>
      </w:r>
    </w:p>
    <w:p>
      <w:pPr>
        <w:snapToGrid w:val="0"/>
        <w:spacing w:line="520" w:lineRule="exact"/>
        <w:ind w:firstLine="643" w:firstLineChars="200"/>
        <w:rPr>
          <w:rFonts w:hint="eastAsia" w:ascii="宋体" w:hAnsi="宋体" w:eastAsia="宋体"/>
          <w:b/>
          <w:sz w:val="32"/>
          <w:szCs w:val="32"/>
        </w:rPr>
      </w:pPr>
      <w:r>
        <w:rPr>
          <w:rFonts w:hint="eastAsia" w:ascii="宋体" w:hAnsi="宋体" w:eastAsia="宋体"/>
          <w:b/>
          <w:sz w:val="32"/>
          <w:szCs w:val="32"/>
        </w:rPr>
        <w:t>（五）绩效目标完成情况。</w:t>
      </w:r>
    </w:p>
    <w:p>
      <w:pPr>
        <w:pStyle w:val="17"/>
        <w:keepNext w:val="0"/>
        <w:keepLines w:val="0"/>
        <w:pageBreakBefore w:val="0"/>
        <w:wordWrap/>
        <w:topLinePunct w:val="0"/>
        <w:autoSpaceDE w:val="0"/>
        <w:autoSpaceDN w:val="0"/>
        <w:bidi w:val="0"/>
        <w:adjustRightInd w:val="0"/>
        <w:snapToGrid w:val="0"/>
        <w:spacing w:line="580" w:lineRule="exact"/>
        <w:ind w:firstLine="640"/>
        <w:textAlignment w:val="auto"/>
        <w:rPr>
          <w:rFonts w:hint="eastAsia" w:ascii="仿宋" w:hAnsi="仿宋" w:eastAsia="仿宋" w:cs="仿宋"/>
          <w:bCs/>
          <w:sz w:val="32"/>
          <w:szCs w:val="32"/>
        </w:rPr>
      </w:pPr>
      <w:r>
        <w:rPr>
          <w:rFonts w:hint="eastAsia" w:ascii="仿宋" w:hAnsi="仿宋" w:eastAsia="仿宋" w:cs="仿宋"/>
          <w:bCs/>
          <w:sz w:val="32"/>
          <w:szCs w:val="32"/>
        </w:rPr>
        <w:t>为进一步规范预算资金</w:t>
      </w:r>
      <w:r>
        <w:rPr>
          <w:rFonts w:hint="eastAsia" w:ascii="仿宋" w:hAnsi="仿宋" w:eastAsia="仿宋" w:cs="仿宋"/>
          <w:bCs/>
          <w:sz w:val="32"/>
          <w:szCs w:val="32"/>
          <w:lang w:val="en-US" w:eastAsia="zh-CN"/>
        </w:rPr>
        <w:t>管理</w:t>
      </w:r>
      <w:r>
        <w:rPr>
          <w:rFonts w:hint="eastAsia" w:ascii="仿宋" w:hAnsi="仿宋" w:eastAsia="仿宋" w:cs="仿宋"/>
          <w:bCs/>
          <w:sz w:val="32"/>
          <w:szCs w:val="32"/>
        </w:rPr>
        <w:t>，提高财政资金使用效益，根据《景德镇市财政局关于开展</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年预算绩效管理工作的通知》（景财办字[20</w:t>
      </w: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bCs/>
          <w:sz w:val="32"/>
          <w:szCs w:val="32"/>
          <w:lang w:val="en-US" w:eastAsia="zh-CN"/>
        </w:rPr>
        <w:t>7</w:t>
      </w:r>
      <w:r>
        <w:rPr>
          <w:rFonts w:hint="eastAsia" w:ascii="仿宋" w:hAnsi="仿宋" w:eastAsia="仿宋" w:cs="仿宋"/>
          <w:bCs/>
          <w:sz w:val="32"/>
          <w:szCs w:val="32"/>
        </w:rPr>
        <w:t>号）要求，中共景德镇市直属机关工作委员会委托</w:t>
      </w:r>
      <w:r>
        <w:rPr>
          <w:rFonts w:hint="eastAsia" w:ascii="仿宋" w:hAnsi="仿宋" w:eastAsia="仿宋" w:cs="仿宋"/>
          <w:bCs/>
          <w:sz w:val="32"/>
          <w:szCs w:val="32"/>
          <w:lang w:eastAsia="zh-CN"/>
        </w:rPr>
        <w:t>景德镇市明驰资产评估事务所</w:t>
      </w:r>
      <w:r>
        <w:rPr>
          <w:rFonts w:hint="eastAsia" w:ascii="仿宋" w:hAnsi="仿宋" w:eastAsia="仿宋" w:cs="仿宋"/>
          <w:bCs/>
          <w:sz w:val="32"/>
          <w:szCs w:val="32"/>
        </w:rPr>
        <w:t>作为独立第三方对中共景德镇市直属机关工作委员会</w:t>
      </w:r>
      <w:r>
        <w:rPr>
          <w:rFonts w:hint="eastAsia" w:ascii="仿宋" w:hAnsi="仿宋" w:eastAsia="仿宋" w:cs="仿宋"/>
          <w:bCs/>
          <w:sz w:val="32"/>
          <w:szCs w:val="32"/>
          <w:lang w:val="en-US" w:eastAsia="zh-CN"/>
        </w:rPr>
        <w:t>2020</w:t>
      </w:r>
      <w:r>
        <w:rPr>
          <w:rFonts w:hint="eastAsia" w:ascii="仿宋" w:hAnsi="仿宋" w:eastAsia="仿宋" w:cs="仿宋"/>
          <w:bCs/>
          <w:sz w:val="32"/>
          <w:szCs w:val="32"/>
        </w:rPr>
        <w:t>年度</w:t>
      </w:r>
      <w:r>
        <w:rPr>
          <w:rFonts w:hint="eastAsia" w:ascii="仿宋" w:hAnsi="仿宋" w:eastAsia="仿宋" w:cs="仿宋"/>
          <w:bCs/>
          <w:sz w:val="32"/>
          <w:szCs w:val="32"/>
          <w:lang w:val="en-US" w:eastAsia="zh-CN"/>
        </w:rPr>
        <w:t>部门</w:t>
      </w:r>
      <w:r>
        <w:rPr>
          <w:rFonts w:hint="eastAsia" w:ascii="仿宋" w:hAnsi="仿宋" w:eastAsia="仿宋" w:cs="仿宋"/>
          <w:bCs/>
          <w:sz w:val="32"/>
          <w:szCs w:val="32"/>
        </w:rPr>
        <w:t>整体支出开展绩效</w:t>
      </w:r>
      <w:r>
        <w:rPr>
          <w:rFonts w:hint="eastAsia" w:ascii="仿宋" w:hAnsi="仿宋" w:eastAsia="仿宋" w:cs="仿宋"/>
          <w:bCs/>
          <w:sz w:val="32"/>
          <w:szCs w:val="32"/>
          <w:lang w:val="en-US" w:eastAsia="zh-CN"/>
        </w:rPr>
        <w:t>自评</w:t>
      </w:r>
      <w:r>
        <w:rPr>
          <w:rFonts w:hint="eastAsia" w:ascii="仿宋" w:hAnsi="仿宋" w:eastAsia="仿宋" w:cs="仿宋"/>
          <w:bCs/>
          <w:sz w:val="32"/>
          <w:szCs w:val="32"/>
        </w:rPr>
        <w:t>。</w:t>
      </w:r>
    </w:p>
    <w:p>
      <w:pPr>
        <w:pStyle w:val="4"/>
        <w:bidi w:val="0"/>
        <w:rPr>
          <w:rFonts w:hint="default"/>
          <w:b/>
          <w:bCs/>
          <w:lang w:val="en-US" w:eastAsia="zh-CN"/>
        </w:rPr>
      </w:pPr>
      <w:bookmarkStart w:id="1" w:name="_Toc11748"/>
      <w:r>
        <w:rPr>
          <w:rFonts w:hint="eastAsia"/>
          <w:b/>
          <w:bCs/>
        </w:rPr>
        <w:t>（</w:t>
      </w:r>
      <w:r>
        <w:rPr>
          <w:rFonts w:hint="eastAsia"/>
          <w:b/>
          <w:bCs/>
          <w:lang w:eastAsia="zh-CN"/>
        </w:rPr>
        <w:t>一</w:t>
      </w:r>
      <w:r>
        <w:rPr>
          <w:rFonts w:hint="eastAsia"/>
          <w:b/>
          <w:bCs/>
        </w:rPr>
        <w:t>）单位目标</w:t>
      </w:r>
      <w:r>
        <w:rPr>
          <w:rFonts w:hint="eastAsia"/>
          <w:b/>
          <w:bCs/>
          <w:lang w:val="en-US" w:eastAsia="zh-CN"/>
        </w:rPr>
        <w:t>实现情况</w:t>
      </w:r>
      <w:bookmarkEnd w:id="1"/>
    </w:p>
    <w:p>
      <w:pPr>
        <w:keepNext w:val="0"/>
        <w:keepLines w:val="0"/>
        <w:pageBreakBefore w:val="0"/>
        <w:wordWrap/>
        <w:topLinePunct w:val="0"/>
        <w:bidi w:val="0"/>
        <w:adjustRightInd w:val="0"/>
        <w:snapToGrid w:val="0"/>
        <w:spacing w:line="580" w:lineRule="exact"/>
        <w:ind w:firstLine="643" w:firstLineChars="200"/>
        <w:jc w:val="left"/>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1.单位总体目标</w:t>
      </w:r>
    </w:p>
    <w:p>
      <w:pPr>
        <w:keepNext w:val="0"/>
        <w:keepLines w:val="0"/>
        <w:pageBreakBefore w:val="0"/>
        <w:kinsoku/>
        <w:wordWrap/>
        <w:overflowPunct/>
        <w:topLinePunct w:val="0"/>
        <w:autoSpaceDE/>
        <w:autoSpaceDN/>
        <w:bidi w:val="0"/>
        <w:adjustRightInd/>
        <w:snapToGrid/>
        <w:spacing w:line="600" w:lineRule="exact"/>
        <w:ind w:firstLine="668" w:firstLineChars="200"/>
        <w:textAlignment w:val="auto"/>
        <w:rPr>
          <w:rFonts w:hint="eastAsia" w:ascii="仿宋_GB2312" w:hAnsi="Calibri" w:eastAsia="仿宋_GB2312" w:cs="Times New Roman"/>
          <w:spacing w:val="7"/>
          <w:sz w:val="32"/>
          <w:szCs w:val="32"/>
          <w:lang w:val="en-US" w:eastAsia="zh-CN"/>
        </w:rPr>
      </w:pPr>
      <w:r>
        <w:rPr>
          <w:rFonts w:hint="eastAsia" w:ascii="仿宋_GB2312" w:hAnsi="Calibri" w:eastAsia="仿宋_GB2312" w:cs="Times New Roman"/>
          <w:spacing w:val="7"/>
          <w:sz w:val="32"/>
          <w:szCs w:val="32"/>
        </w:rPr>
        <w:t>在市委的坚强领导</w:t>
      </w:r>
      <w:r>
        <w:rPr>
          <w:rFonts w:hint="eastAsia" w:ascii="仿宋_GB2312" w:eastAsia="仿宋_GB2312" w:cs="Times New Roman"/>
          <w:spacing w:val="7"/>
          <w:sz w:val="32"/>
          <w:szCs w:val="32"/>
          <w:lang w:eastAsia="zh-CN"/>
        </w:rPr>
        <w:t>和省直工委的指导</w:t>
      </w:r>
      <w:r>
        <w:rPr>
          <w:rFonts w:hint="eastAsia" w:ascii="仿宋_GB2312" w:hAnsi="Calibri" w:eastAsia="仿宋_GB2312" w:cs="Times New Roman"/>
          <w:spacing w:val="7"/>
          <w:sz w:val="32"/>
          <w:szCs w:val="32"/>
        </w:rPr>
        <w:t>下，</w:t>
      </w:r>
      <w:r>
        <w:rPr>
          <w:rFonts w:hint="eastAsia" w:ascii="仿宋_GB2312" w:eastAsia="仿宋_GB2312" w:cs="Times New Roman"/>
          <w:spacing w:val="7"/>
          <w:sz w:val="32"/>
          <w:szCs w:val="32"/>
          <w:lang w:eastAsia="zh-CN"/>
        </w:rPr>
        <w:t>市直机关</w:t>
      </w:r>
      <w:r>
        <w:rPr>
          <w:rFonts w:hint="eastAsia" w:ascii="仿宋_GB2312" w:hAnsi="仿宋" w:eastAsia="仿宋_GB2312"/>
          <w:sz w:val="32"/>
          <w:szCs w:val="32"/>
        </w:rPr>
        <w:t>工委</w:t>
      </w:r>
      <w:r>
        <w:rPr>
          <w:rFonts w:hint="eastAsia" w:ascii="仿宋_GB2312" w:hAnsi="Calibri" w:eastAsia="仿宋_GB2312" w:cs="Times New Roman"/>
          <w:spacing w:val="7"/>
          <w:sz w:val="32"/>
          <w:szCs w:val="32"/>
        </w:rPr>
        <w:t>坚持以习近平新时代中国特色社会主义思想为指导，深入</w:t>
      </w:r>
      <w:r>
        <w:rPr>
          <w:rFonts w:hint="eastAsia" w:ascii="仿宋_GB2312" w:hAnsi="Calibri" w:eastAsia="仿宋_GB2312" w:cs="Times New Roman"/>
          <w:spacing w:val="7"/>
          <w:sz w:val="32"/>
          <w:szCs w:val="32"/>
          <w:lang w:eastAsia="zh-CN"/>
        </w:rPr>
        <w:t>学习</w:t>
      </w:r>
      <w:r>
        <w:rPr>
          <w:rFonts w:hint="eastAsia" w:ascii="仿宋_GB2312" w:hAnsi="Calibri" w:eastAsia="仿宋_GB2312" w:cs="Times New Roman"/>
          <w:spacing w:val="7"/>
          <w:sz w:val="32"/>
          <w:szCs w:val="32"/>
        </w:rPr>
        <w:t>贯彻党的十九届四中、五中全会精神，</w:t>
      </w:r>
      <w:r>
        <w:rPr>
          <w:rFonts w:hint="eastAsia" w:ascii="仿宋_GB2312" w:hAnsi="仿宋" w:eastAsia="仿宋_GB2312"/>
          <w:sz w:val="32"/>
          <w:szCs w:val="32"/>
        </w:rPr>
        <w:t>牢固树立“责任担当”意识，不折不扣地落实主体责任</w:t>
      </w:r>
      <w:r>
        <w:rPr>
          <w:rFonts w:hint="eastAsia" w:ascii="仿宋_GB2312" w:hAnsi="仿宋" w:eastAsia="仿宋_GB2312"/>
          <w:sz w:val="32"/>
          <w:szCs w:val="32"/>
          <w:lang w:eastAsia="zh-CN"/>
        </w:rPr>
        <w:t>，</w:t>
      </w:r>
      <w:r>
        <w:rPr>
          <w:rFonts w:hint="eastAsia" w:ascii="仿宋_GB2312" w:hAnsi="Calibri" w:eastAsia="仿宋_GB2312" w:cs="Times New Roman"/>
          <w:spacing w:val="7"/>
          <w:sz w:val="32"/>
          <w:szCs w:val="32"/>
          <w:lang w:eastAsia="zh-CN"/>
        </w:rPr>
        <w:t>聚焦</w:t>
      </w:r>
      <w:r>
        <w:rPr>
          <w:rFonts w:hint="eastAsia" w:ascii="仿宋_GB2312" w:hAnsi="Calibri" w:eastAsia="仿宋_GB2312" w:cs="Times New Roman"/>
          <w:spacing w:val="7"/>
          <w:sz w:val="32"/>
          <w:szCs w:val="32"/>
          <w:lang w:val="en-US" w:eastAsia="zh-CN"/>
        </w:rPr>
        <w:t>“</w:t>
      </w:r>
      <w:r>
        <w:rPr>
          <w:rFonts w:hint="eastAsia" w:ascii="仿宋_GB2312" w:eastAsia="仿宋_GB2312" w:cs="Times New Roman"/>
          <w:spacing w:val="7"/>
          <w:sz w:val="32"/>
          <w:szCs w:val="32"/>
          <w:lang w:val="en-US" w:eastAsia="zh-CN"/>
        </w:rPr>
        <w:t>六</w:t>
      </w:r>
      <w:r>
        <w:rPr>
          <w:rFonts w:hint="eastAsia" w:ascii="仿宋_GB2312" w:hAnsi="Calibri" w:eastAsia="仿宋_GB2312" w:cs="Times New Roman"/>
          <w:spacing w:val="7"/>
          <w:sz w:val="32"/>
          <w:szCs w:val="32"/>
          <w:lang w:val="en-US" w:eastAsia="zh-CN"/>
        </w:rPr>
        <w:t>大工程”，</w:t>
      </w:r>
      <w:r>
        <w:rPr>
          <w:rFonts w:hint="eastAsia" w:ascii="仿宋_GB2312" w:hAnsi="Calibri" w:eastAsia="仿宋_GB2312" w:cs="Times New Roman"/>
          <w:spacing w:val="7"/>
          <w:sz w:val="32"/>
          <w:szCs w:val="32"/>
        </w:rPr>
        <w:t>全面推进机关党的建设</w:t>
      </w:r>
      <w:r>
        <w:rPr>
          <w:rFonts w:hint="eastAsia" w:ascii="仿宋_GB2312" w:hAnsi="Calibri" w:eastAsia="仿宋_GB2312" w:cs="Times New Roman"/>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left"/>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2.年度具体目标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全方位压实党建责任，组织73个市直单位党组（党委）书记述职和相互评议，同时邀请20名“两代表一委员”及党员群众代表参与评议。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强化</w:t>
      </w:r>
      <w:r>
        <w:rPr>
          <w:rFonts w:hint="eastAsia" w:ascii="仿宋" w:hAnsi="仿宋" w:eastAsia="仿宋" w:cs="仿宋"/>
          <w:bCs/>
          <w:sz w:val="32"/>
          <w:szCs w:val="32"/>
          <w:lang w:val="en-US" w:eastAsia="zh-CN"/>
        </w:rPr>
        <w:t>了</w:t>
      </w:r>
      <w:r>
        <w:rPr>
          <w:rFonts w:hint="eastAsia" w:ascii="仿宋" w:hAnsi="仿宋" w:eastAsia="仿宋" w:cs="仿宋"/>
          <w:bCs/>
          <w:sz w:val="32"/>
          <w:szCs w:val="32"/>
        </w:rPr>
        <w:t>党员干部政治教育，</w:t>
      </w:r>
      <w:r>
        <w:rPr>
          <w:rFonts w:hint="eastAsia" w:ascii="仿宋" w:hAnsi="仿宋" w:eastAsia="仿宋" w:cs="仿宋"/>
          <w:bCs/>
          <w:sz w:val="32"/>
          <w:szCs w:val="32"/>
          <w:lang w:val="en-US" w:eastAsia="zh-CN"/>
        </w:rPr>
        <w:t>举办各类培训班29期，培训3400余人，发展新党员224名。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结合“让党旗在防控疫情斗争第一线飘扬”行动看展情况，在七一前夕对在2018-2020年度市直机关涌现的市纪委市监委机关党委开展表彰大会，表彰51个先进基层党组织，70名优秀党务工作者和200名优秀共产党员。</w:t>
      </w:r>
    </w:p>
    <w:p>
      <w:pPr>
        <w:keepNext w:val="0"/>
        <w:keepLines w:val="0"/>
        <w:pageBreakBefore w:val="0"/>
        <w:wordWrap/>
        <w:topLinePunct w:val="0"/>
        <w:bidi w:val="0"/>
        <w:adjustRightInd w:val="0"/>
        <w:snapToGrid w:val="0"/>
        <w:spacing w:line="58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发动市直机关各级党组织每月开展“党员志愿者服务助力“双创双修””活动，组建351支市直机关党员志愿者服务队万名党员到85个市直部门共建社区、120个中心城区路长制主要道路报到。</w:t>
      </w:r>
    </w:p>
    <w:p>
      <w:pPr>
        <w:keepNext w:val="0"/>
        <w:keepLines w:val="0"/>
        <w:pageBreakBefore w:val="0"/>
        <w:wordWrap/>
        <w:topLinePunct w:val="0"/>
        <w:bidi w:val="0"/>
        <w:adjustRightInd w:val="0"/>
        <w:snapToGrid w:val="0"/>
        <w:spacing w:line="580" w:lineRule="exact"/>
        <w:ind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进一步探索创新机关党建工作机制，强化党建工作指导站的作用，将党的建设和景德镇陶瓷试验区建设紧密结合，通过党建工作政治引领个组织优势推动市直各级党组织和广大党员干部积极投身景德镇陶瓷试验区建设。</w:t>
      </w:r>
    </w:p>
    <w:p>
      <w:pPr>
        <w:snapToGrid w:val="0"/>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（6）修改完善市直机关党建工作目标管理考核细则，组织开展机关党建工作目标管理考核。</w:t>
      </w:r>
    </w:p>
    <w:p>
      <w:pPr>
        <w:pStyle w:val="4"/>
        <w:bidi w:val="0"/>
        <w:rPr>
          <w:rFonts w:hint="default"/>
          <w:b/>
          <w:bCs/>
          <w:lang w:val="en-US" w:eastAsia="zh-CN"/>
        </w:rPr>
      </w:pPr>
      <w:bookmarkStart w:id="2" w:name="_Toc19443"/>
      <w:r>
        <w:rPr>
          <w:rFonts w:hint="eastAsia"/>
          <w:b/>
          <w:bCs/>
        </w:rPr>
        <w:t>（</w:t>
      </w:r>
      <w:r>
        <w:rPr>
          <w:rFonts w:hint="eastAsia"/>
          <w:b/>
          <w:bCs/>
          <w:lang w:val="en-US" w:eastAsia="zh-CN"/>
        </w:rPr>
        <w:t>二</w:t>
      </w:r>
      <w:r>
        <w:rPr>
          <w:rFonts w:hint="eastAsia"/>
          <w:b/>
          <w:bCs/>
        </w:rPr>
        <w:t>）绩效评价</w:t>
      </w:r>
      <w:r>
        <w:rPr>
          <w:rFonts w:hint="eastAsia"/>
          <w:b/>
          <w:bCs/>
          <w:lang w:val="en-US" w:eastAsia="zh-CN"/>
        </w:rPr>
        <w:t>整体结果概况</w:t>
      </w:r>
      <w:bookmarkEnd w:id="2"/>
    </w:p>
    <w:p>
      <w:pPr>
        <w:keepNext w:val="0"/>
        <w:keepLines w:val="0"/>
        <w:pageBreakBefore w:val="0"/>
        <w:wordWrap/>
        <w:topLinePunct w:val="0"/>
        <w:bidi w:val="0"/>
        <w:adjustRightInd w:val="0"/>
        <w:snapToGrid w:val="0"/>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根据被评价单位提供和评价工作小组现场调查的相关资料，按照设定的绩效评价指标体系及评分标准，经过整理统计和分析评判，</w:t>
      </w:r>
      <w:r>
        <w:rPr>
          <w:rFonts w:hint="eastAsia" w:ascii="仿宋" w:hAnsi="仿宋" w:eastAsia="仿宋" w:cs="仿宋"/>
          <w:bCs/>
          <w:sz w:val="32"/>
          <w:szCs w:val="32"/>
        </w:rPr>
        <w:t>中共景德镇市直属机关工作委员会委</w:t>
      </w: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sz w:val="32"/>
          <w:szCs w:val="32"/>
          <w:lang w:val="en-US" w:eastAsia="zh-CN"/>
        </w:rPr>
        <w:t>部门</w:t>
      </w:r>
      <w:r>
        <w:rPr>
          <w:rFonts w:hint="eastAsia" w:ascii="仿宋" w:hAnsi="仿宋" w:eastAsia="仿宋" w:cs="仿宋"/>
          <w:sz w:val="32"/>
          <w:szCs w:val="32"/>
        </w:rPr>
        <w:t>整体支出的绩效</w:t>
      </w:r>
      <w:r>
        <w:rPr>
          <w:rFonts w:hint="eastAsia" w:ascii="仿宋" w:hAnsi="仿宋" w:eastAsia="仿宋" w:cs="仿宋"/>
          <w:sz w:val="32"/>
          <w:szCs w:val="32"/>
          <w:lang w:val="en-US" w:eastAsia="zh-CN"/>
        </w:rPr>
        <w:t>自</w:t>
      </w:r>
      <w:r>
        <w:rPr>
          <w:rFonts w:hint="eastAsia" w:ascii="仿宋" w:hAnsi="仿宋" w:eastAsia="仿宋" w:cs="仿宋"/>
          <w:sz w:val="32"/>
          <w:szCs w:val="32"/>
        </w:rPr>
        <w:t>评得</w:t>
      </w:r>
      <w:r>
        <w:rPr>
          <w:rFonts w:hint="eastAsia" w:ascii="仿宋" w:hAnsi="仿宋" w:eastAsia="仿宋" w:cs="仿宋"/>
          <w:color w:val="auto"/>
          <w:sz w:val="32"/>
          <w:szCs w:val="32"/>
          <w:lang w:val="en-US" w:eastAsia="zh-CN"/>
        </w:rPr>
        <w:t>97</w:t>
      </w:r>
      <w:r>
        <w:rPr>
          <w:rFonts w:hint="eastAsia" w:ascii="仿宋" w:hAnsi="仿宋" w:eastAsia="仿宋" w:cs="仿宋"/>
          <w:color w:val="auto"/>
          <w:sz w:val="32"/>
          <w:szCs w:val="32"/>
        </w:rPr>
        <w:t>分，</w:t>
      </w:r>
      <w:r>
        <w:rPr>
          <w:rFonts w:hint="eastAsia" w:ascii="仿宋" w:hAnsi="仿宋" w:eastAsia="仿宋" w:cs="仿宋"/>
          <w:sz w:val="32"/>
          <w:szCs w:val="32"/>
        </w:rPr>
        <w:t>绩效等级为“</w:t>
      </w:r>
      <w:r>
        <w:rPr>
          <w:rFonts w:hint="eastAsia" w:ascii="仿宋" w:hAnsi="仿宋" w:eastAsia="仿宋" w:cs="仿宋"/>
          <w:sz w:val="32"/>
          <w:szCs w:val="32"/>
          <w:lang w:val="en-US" w:eastAsia="zh-CN"/>
        </w:rPr>
        <w:t>优秀</w:t>
      </w:r>
      <w:r>
        <w:rPr>
          <w:rFonts w:hint="eastAsia" w:ascii="仿宋" w:hAnsi="仿宋" w:eastAsia="仿宋" w:cs="仿宋"/>
          <w:sz w:val="32"/>
          <w:szCs w:val="32"/>
        </w:rPr>
        <w:t>”。</w:t>
      </w:r>
    </w:p>
    <w:p>
      <w:pPr>
        <w:keepNext w:val="0"/>
        <w:keepLines w:val="0"/>
        <w:pageBreakBefore w:val="0"/>
        <w:widowControl w:val="0"/>
        <w:wordWrap/>
        <w:topLinePunct w:val="0"/>
        <w:bidi w:val="0"/>
        <w:adjustRightInd w:val="0"/>
        <w:snapToGrid w:val="0"/>
        <w:spacing w:line="540" w:lineRule="exact"/>
        <w:jc w:val="center"/>
        <w:textAlignment w:val="auto"/>
        <w:rPr>
          <w:rFonts w:hint="eastAsia" w:ascii="仿宋" w:hAnsi="仿宋" w:eastAsia="仿宋" w:cs="仿宋"/>
          <w:b/>
          <w:bCs/>
        </w:rPr>
      </w:pPr>
      <w:r>
        <w:rPr>
          <w:rFonts w:hint="eastAsia" w:ascii="仿宋" w:hAnsi="仿宋" w:eastAsia="仿宋" w:cs="仿宋"/>
          <w:b/>
          <w:bCs/>
          <w:sz w:val="32"/>
          <w:szCs w:val="32"/>
          <w:lang w:val="en-US" w:eastAsia="zh-CN"/>
        </w:rPr>
        <w:t>部门</w:t>
      </w:r>
      <w:r>
        <w:rPr>
          <w:rFonts w:hint="eastAsia" w:ascii="仿宋" w:hAnsi="仿宋" w:eastAsia="仿宋" w:cs="仿宋"/>
          <w:b/>
          <w:bCs/>
          <w:sz w:val="32"/>
          <w:szCs w:val="32"/>
        </w:rPr>
        <w:t>整体支出绩效</w:t>
      </w:r>
      <w:r>
        <w:rPr>
          <w:rFonts w:hint="eastAsia" w:ascii="仿宋" w:hAnsi="仿宋" w:eastAsia="仿宋" w:cs="仿宋"/>
          <w:b/>
          <w:bCs/>
          <w:sz w:val="32"/>
          <w:szCs w:val="32"/>
          <w:lang w:val="en-US" w:eastAsia="zh-CN"/>
        </w:rPr>
        <w:t>自</w:t>
      </w:r>
      <w:r>
        <w:rPr>
          <w:rFonts w:hint="eastAsia" w:ascii="仿宋" w:hAnsi="仿宋" w:eastAsia="仿宋" w:cs="仿宋"/>
          <w:b/>
          <w:bCs/>
          <w:sz w:val="32"/>
          <w:szCs w:val="32"/>
        </w:rPr>
        <w:t>评得分情况</w:t>
      </w:r>
    </w:p>
    <w:tbl>
      <w:tblPr>
        <w:tblStyle w:val="10"/>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451"/>
        <w:gridCol w:w="1452"/>
        <w:gridCol w:w="1452"/>
        <w:gridCol w:w="145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top"/>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评价指标</w:t>
            </w:r>
          </w:p>
        </w:tc>
        <w:tc>
          <w:tcPr>
            <w:tcW w:w="1451" w:type="dxa"/>
            <w:vAlign w:val="top"/>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280" w:firstLineChars="1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投入</w:t>
            </w:r>
          </w:p>
        </w:tc>
        <w:tc>
          <w:tcPr>
            <w:tcW w:w="1452" w:type="dxa"/>
            <w:vAlign w:val="top"/>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280" w:firstLineChars="1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过程</w:t>
            </w:r>
          </w:p>
        </w:tc>
        <w:tc>
          <w:tcPr>
            <w:tcW w:w="1452" w:type="dxa"/>
            <w:vAlign w:val="top"/>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280" w:firstLineChars="1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产出</w:t>
            </w:r>
          </w:p>
        </w:tc>
        <w:tc>
          <w:tcPr>
            <w:tcW w:w="1451" w:type="dxa"/>
            <w:vAlign w:val="top"/>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280" w:firstLineChars="1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效果</w:t>
            </w:r>
          </w:p>
        </w:tc>
        <w:tc>
          <w:tcPr>
            <w:tcW w:w="1450"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权重</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10</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556" w:firstLineChars="0"/>
              <w:jc w:val="both"/>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30</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44</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16</w:t>
            </w:r>
          </w:p>
        </w:tc>
        <w:tc>
          <w:tcPr>
            <w:tcW w:w="1450"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得分</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left="0" w:leftChars="0" w:firstLine="560" w:firstLineChars="200"/>
              <w:jc w:val="both"/>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10</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28</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44</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15</w:t>
            </w:r>
          </w:p>
        </w:tc>
        <w:tc>
          <w:tcPr>
            <w:tcW w:w="1450"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得分率</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100.00%</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93.33%</w:t>
            </w:r>
          </w:p>
        </w:tc>
        <w:tc>
          <w:tcPr>
            <w:tcW w:w="1452"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100.00%</w:t>
            </w:r>
          </w:p>
        </w:tc>
        <w:tc>
          <w:tcPr>
            <w:tcW w:w="1451"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default" w:ascii="仿宋" w:hAnsi="仿宋" w:eastAsia="仿宋" w:cs="仿宋"/>
                <w:b w:val="0"/>
                <w:bCs/>
                <w:lang w:val="en-US" w:eastAsia="zh-CN"/>
              </w:rPr>
            </w:pPr>
            <w:r>
              <w:rPr>
                <w:rFonts w:hint="eastAsia" w:ascii="仿宋" w:hAnsi="仿宋" w:eastAsia="仿宋" w:cs="仿宋"/>
                <w:b w:val="0"/>
                <w:bCs/>
                <w:lang w:val="en-US" w:eastAsia="zh-CN"/>
              </w:rPr>
              <w:t>93.75%</w:t>
            </w:r>
          </w:p>
        </w:tc>
        <w:tc>
          <w:tcPr>
            <w:tcW w:w="1450" w:type="dxa"/>
            <w:vAlign w:val="center"/>
          </w:tcPr>
          <w:p>
            <w:pPr>
              <w:pStyle w:val="18"/>
              <w:keepNext w:val="0"/>
              <w:keepLines w:val="0"/>
              <w:pageBreakBefore w:val="0"/>
              <w:widowControl w:val="0"/>
              <w:kinsoku w:val="0"/>
              <w:wordWrap/>
              <w:overflowPunct w:val="0"/>
              <w:topLinePunct w:val="0"/>
              <w:autoSpaceDE w:val="0"/>
              <w:autoSpaceDN w:val="0"/>
              <w:bidi w:val="0"/>
              <w:adjustRightInd w:val="0"/>
              <w:snapToGrid w:val="0"/>
              <w:spacing w:before="0" w:after="0" w:line="540" w:lineRule="exact"/>
              <w:ind w:firstLine="0" w:firstLineChars="0"/>
              <w:jc w:val="center"/>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97.00%</w:t>
            </w:r>
          </w:p>
        </w:tc>
      </w:tr>
    </w:tbl>
    <w:p>
      <w:pPr>
        <w:pStyle w:val="5"/>
        <w:rPr>
          <w:rFonts w:hint="eastAsia"/>
        </w:rPr>
      </w:pPr>
    </w:p>
    <w:p>
      <w:pPr>
        <w:snapToGrid w:val="0"/>
        <w:spacing w:line="520" w:lineRule="exact"/>
        <w:ind w:firstLine="643" w:firstLineChars="200"/>
        <w:rPr>
          <w:rFonts w:hint="eastAsia" w:ascii="宋体" w:hAnsi="宋体" w:eastAsia="宋体"/>
          <w:b/>
          <w:sz w:val="32"/>
          <w:szCs w:val="32"/>
        </w:rPr>
      </w:pPr>
    </w:p>
    <w:p>
      <w:pPr>
        <w:numPr>
          <w:ilvl w:val="0"/>
          <w:numId w:val="0"/>
        </w:numPr>
        <w:snapToGrid w:val="0"/>
        <w:spacing w:line="520" w:lineRule="exact"/>
        <w:ind w:leftChars="200"/>
        <w:rPr>
          <w:rFonts w:hint="eastAsia" w:ascii="宋体" w:hAnsi="宋体" w:eastAsia="宋体"/>
          <w:b/>
          <w:sz w:val="32"/>
          <w:szCs w:val="32"/>
        </w:rPr>
      </w:pPr>
      <w:r>
        <w:rPr>
          <w:rFonts w:hint="eastAsia" w:ascii="宋体" w:hAnsi="宋体" w:eastAsia="宋体"/>
          <w:b/>
          <w:sz w:val="32"/>
          <w:szCs w:val="32"/>
          <w:lang w:eastAsia="zh-CN"/>
        </w:rPr>
        <w:t>（六）</w:t>
      </w:r>
      <w:r>
        <w:rPr>
          <w:rFonts w:hint="eastAsia" w:ascii="宋体" w:hAnsi="宋体" w:eastAsia="宋体"/>
          <w:b/>
          <w:sz w:val="32"/>
          <w:szCs w:val="32"/>
        </w:rPr>
        <w:t>当年预算执行及绩效管理中存在问题、原因及改进措施。</w:t>
      </w:r>
    </w:p>
    <w:p>
      <w:pPr>
        <w:snapToGrid w:val="0"/>
        <w:spacing w:line="520" w:lineRule="exact"/>
        <w:ind w:firstLine="640" w:firstLineChars="200"/>
        <w:rPr>
          <w:rFonts w:hint="eastAsia" w:ascii="黑体" w:hAnsi="黑体" w:eastAsia="黑体"/>
          <w:sz w:val="32"/>
          <w:szCs w:val="32"/>
        </w:rPr>
      </w:pPr>
      <w:bookmarkStart w:id="3" w:name="YS060104"/>
      <w:r>
        <w:rPr>
          <w:rFonts w:hint="eastAsia" w:ascii="黑体" w:hAnsi="黑体" w:eastAsia="黑体"/>
          <w:sz w:val="32"/>
          <w:szCs w:val="32"/>
        </w:rPr>
        <w:t>三、本年度部门决算等财务工作开展情况</w:t>
      </w:r>
    </w:p>
    <w:bookmarkEnd w:id="3"/>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（二）本单位决算及绩效信息公开工作开展情况。</w:t>
      </w:r>
    </w:p>
    <w:p>
      <w:pPr>
        <w:snapToGrid w:val="0"/>
        <w:spacing w:line="580" w:lineRule="exact"/>
        <w:ind w:firstLine="640" w:firstLineChars="200"/>
        <w:rPr>
          <w:rFonts w:hint="eastAsia" w:ascii="楷体_GB2312" w:hAnsi="仿宋" w:eastAsia="楷体_GB2312"/>
          <w:b/>
          <w:sz w:val="32"/>
          <w:szCs w:val="32"/>
          <w:lang w:eastAsia="zh-CN"/>
        </w:rPr>
      </w:pPr>
      <w:r>
        <w:rPr>
          <w:rFonts w:hint="eastAsia" w:ascii="仿宋_GB2312" w:hAnsi="仿宋" w:eastAsia="仿宋_GB2312"/>
          <w:sz w:val="32"/>
          <w:szCs w:val="32"/>
        </w:rPr>
        <w:t>（三）</w:t>
      </w:r>
      <w:r>
        <w:rPr>
          <w:rFonts w:hint="eastAsia" w:ascii="楷体_GB2312" w:hAnsi="仿宋" w:eastAsia="楷体_GB2312"/>
          <w:sz w:val="32"/>
          <w:szCs w:val="32"/>
        </w:rPr>
        <w:t>对部门决算管理工作的意见和建议。</w:t>
      </w:r>
      <w:r>
        <w:rPr>
          <w:rFonts w:hint="eastAsia" w:ascii="楷体_GB2312" w:hAnsi="仿宋" w:eastAsia="楷体_GB2312"/>
          <w:sz w:val="32"/>
          <w:szCs w:val="32"/>
          <w:lang w:eastAsia="zh-CN"/>
        </w:rPr>
        <w:t>无</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.自行增加的审核公式和模板，请说明设置依据。</w:t>
      </w:r>
    </w:p>
    <w:p>
      <w:pPr>
        <w:ind w:firstLine="709"/>
        <w:rPr>
          <w:rFonts w:hint="eastAsia" w:ascii="仿宋_GB2312" w:hAnsi="仿宋" w:eastAsia="仿宋_GB2312"/>
          <w:color w:val="000000"/>
          <w:sz w:val="32"/>
          <w:szCs w:val="32"/>
          <w:lang w:eastAsia="zh-CN"/>
        </w:rPr>
      </w:pPr>
      <w:r>
        <w:rPr>
          <w:rFonts w:hint="eastAsia" w:ascii="仿宋_GB2312" w:hAnsi="仿宋" w:eastAsia="仿宋_GB2312" w:cs="仿宋"/>
          <w:color w:val="000000"/>
          <w:sz w:val="32"/>
          <w:szCs w:val="32"/>
        </w:rPr>
        <w:t>2.对</w:t>
      </w:r>
      <w:r>
        <w:rPr>
          <w:rFonts w:ascii="仿宋_GB2312" w:hAnsi="仿宋" w:eastAsia="仿宋_GB2312" w:cs="仿宋"/>
          <w:color w:val="000000"/>
          <w:sz w:val="32"/>
          <w:szCs w:val="32"/>
        </w:rPr>
        <w:t>部门决算</w:t>
      </w:r>
      <w:r>
        <w:rPr>
          <w:rFonts w:hint="eastAsia" w:ascii="仿宋_GB2312" w:hAnsi="仿宋" w:eastAsia="仿宋_GB2312" w:cs="仿宋"/>
          <w:color w:val="000000"/>
          <w:sz w:val="32"/>
          <w:szCs w:val="32"/>
        </w:rPr>
        <w:t>报表修订</w:t>
      </w:r>
      <w:r>
        <w:rPr>
          <w:rFonts w:ascii="仿宋_GB2312" w:hAnsi="仿宋" w:eastAsia="仿宋_GB2312" w:cs="仿宋"/>
          <w:color w:val="000000"/>
          <w:sz w:val="32"/>
          <w:szCs w:val="32"/>
        </w:rPr>
        <w:t>设计</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意见和建议，包括</w:t>
      </w:r>
      <w:r>
        <w:rPr>
          <w:rFonts w:hint="eastAsia" w:ascii="仿宋_GB2312" w:hAnsi="仿宋" w:eastAsia="仿宋_GB2312" w:cs="仿宋"/>
          <w:color w:val="000000"/>
          <w:sz w:val="32"/>
          <w:szCs w:val="32"/>
        </w:rPr>
        <w:t>表样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指标设置、软件</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审核公式、模板和</w:t>
      </w:r>
      <w:r>
        <w:rPr>
          <w:rFonts w:ascii="仿宋_GB2312" w:hAnsi="仿宋" w:eastAsia="仿宋_GB2312" w:cs="仿宋"/>
          <w:color w:val="000000"/>
          <w:sz w:val="32"/>
          <w:szCs w:val="32"/>
        </w:rPr>
        <w:t>编</w:t>
      </w:r>
      <w:r>
        <w:rPr>
          <w:rFonts w:hint="eastAsia" w:ascii="仿宋_GB2312" w:hAnsi="仿宋" w:eastAsia="仿宋_GB2312" w:cs="仿宋"/>
          <w:color w:val="000000"/>
          <w:sz w:val="32"/>
          <w:szCs w:val="32"/>
        </w:rPr>
        <w:t>审</w:t>
      </w:r>
      <w:r>
        <w:rPr>
          <w:rFonts w:ascii="仿宋_GB2312" w:hAnsi="仿宋" w:eastAsia="仿宋_GB2312" w:cs="仿宋"/>
          <w:color w:val="000000"/>
          <w:sz w:val="32"/>
          <w:szCs w:val="32"/>
        </w:rPr>
        <w:t>问答</w:t>
      </w:r>
      <w:r>
        <w:rPr>
          <w:rFonts w:hint="eastAsia" w:ascii="仿宋_GB2312" w:hAnsi="仿宋" w:eastAsia="仿宋_GB2312" w:cs="仿宋"/>
          <w:color w:val="000000"/>
          <w:sz w:val="32"/>
          <w:szCs w:val="32"/>
        </w:rPr>
        <w:t>等，请列出并说明修改意见。</w:t>
      </w:r>
      <w:r>
        <w:rPr>
          <w:rFonts w:hint="eastAsia" w:ascii="仿宋_GB2312" w:hAnsi="仿宋" w:eastAsia="仿宋_GB2312" w:cs="仿宋"/>
          <w:color w:val="000000"/>
          <w:sz w:val="32"/>
          <w:szCs w:val="32"/>
          <w:lang w:eastAsia="zh-CN"/>
        </w:rPr>
        <w:t>无</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
          <w:color w:val="000000"/>
          <w:sz w:val="32"/>
          <w:szCs w:val="32"/>
        </w:rPr>
        <w:t>3.对部门决算其他管理</w:t>
      </w:r>
      <w:r>
        <w:rPr>
          <w:rFonts w:ascii="仿宋_GB2312" w:hAnsi="仿宋" w:eastAsia="仿宋_GB2312" w:cs="仿宋"/>
          <w:color w:val="000000"/>
          <w:sz w:val="32"/>
          <w:szCs w:val="32"/>
        </w:rPr>
        <w:t>工作</w:t>
      </w:r>
      <w:r>
        <w:rPr>
          <w:rFonts w:hint="eastAsia" w:ascii="仿宋_GB2312" w:hAnsi="仿宋" w:eastAsia="仿宋_GB2312" w:cs="仿宋"/>
          <w:color w:val="000000"/>
          <w:sz w:val="32"/>
          <w:szCs w:val="32"/>
        </w:rPr>
        <w:t>的建议。例如对加强部门决算数据分析利用工作、部门决算信息化建设等建议。</w:t>
      </w:r>
      <w:r>
        <w:rPr>
          <w:rFonts w:hint="eastAsia" w:ascii="仿宋_GB2312" w:hAnsi="仿宋" w:eastAsia="仿宋_GB2312" w:cs="仿宋"/>
          <w:color w:val="000000"/>
          <w:sz w:val="32"/>
          <w:szCs w:val="32"/>
          <w:lang w:eastAsia="zh-CN"/>
        </w:rPr>
        <w:t>无</w:t>
      </w:r>
    </w:p>
    <w:p>
      <w:pPr>
        <w:snapToGrid w:val="0"/>
        <w:spacing w:line="520" w:lineRule="exact"/>
        <w:ind w:firstLine="640" w:firstLineChars="200"/>
        <w:rPr>
          <w:rFonts w:hint="eastAsia" w:ascii="仿宋_GB2312" w:hAnsi="仿宋" w:eastAsia="仿宋_GB2312"/>
          <w:sz w:val="32"/>
          <w:szCs w:val="32"/>
        </w:rPr>
      </w:pPr>
    </w:p>
    <w:p>
      <w:pPr>
        <w:pStyle w:val="2"/>
        <w:numPr>
          <w:ilvl w:val="0"/>
          <w:numId w:val="0"/>
        </w:numPr>
        <w:ind w:leftChars="200"/>
        <w:rPr>
          <w:rFonts w:hint="eastAsia"/>
        </w:rPr>
      </w:pPr>
      <w:r>
        <w:rPr>
          <w:rFonts w:hint="eastAsia" w:ascii="仿宋_GB2312" w:hAnsi="仿宋" w:eastAsia="仿宋_GB2312"/>
          <w:sz w:val="32"/>
          <w:szCs w:val="32"/>
        </w:rPr>
        <w:t>注：收入支出预算执行情况分析可参考部门决算分析评价表（见软件查询模板）及行政事业单位财务分析指标（附后）。</w:t>
      </w: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ind w:firstLine="643" w:firstLineChars="200"/>
        <w:rPr>
          <w:rFonts w:hint="eastAsia" w:ascii="宋体" w:hAnsi="宋体" w:eastAsia="宋体"/>
          <w:b/>
          <w:sz w:val="32"/>
          <w:szCs w:val="32"/>
        </w:rPr>
      </w:pPr>
    </w:p>
    <w:p>
      <w:pPr>
        <w:snapToGrid w:val="0"/>
        <w:spacing w:line="520" w:lineRule="exact"/>
        <w:rPr>
          <w:rFonts w:ascii="宋体" w:hAnsi="宋体" w:eastAsia="宋体" w:cs="仿宋_GB2312"/>
          <w:sz w:val="32"/>
          <w:szCs w:val="32"/>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726EA"/>
    <w:multiLevelType w:val="singleLevel"/>
    <w:tmpl w:val="872726EA"/>
    <w:lvl w:ilvl="0" w:tentative="0">
      <w:start w:val="1"/>
      <w:numFmt w:val="decimal"/>
      <w:suff w:val="nothing"/>
      <w:lvlText w:val="（%1）"/>
      <w:lvlJc w:val="left"/>
    </w:lvl>
  </w:abstractNum>
  <w:abstractNum w:abstractNumId="1">
    <w:nsid w:val="B8F7C159"/>
    <w:multiLevelType w:val="singleLevel"/>
    <w:tmpl w:val="B8F7C159"/>
    <w:lvl w:ilvl="0" w:tentative="0">
      <w:start w:val="4"/>
      <w:numFmt w:val="chineseCounting"/>
      <w:suff w:val="nothing"/>
      <w:lvlText w:val="（%1）"/>
      <w:lvlJc w:val="left"/>
      <w:rPr>
        <w:rFonts w:hint="eastAsia"/>
      </w:rPr>
    </w:lvl>
  </w:abstractNum>
  <w:abstractNum w:abstractNumId="2">
    <w:nsid w:val="CF71BC0E"/>
    <w:multiLevelType w:val="singleLevel"/>
    <w:tmpl w:val="CF71BC0E"/>
    <w:lvl w:ilvl="0" w:tentative="0">
      <w:start w:val="2"/>
      <w:numFmt w:val="chineseCounting"/>
      <w:suff w:val="nothing"/>
      <w:lvlText w:val="（%1）"/>
      <w:lvlJc w:val="left"/>
      <w:rPr>
        <w:rFonts w:hint="eastAsia"/>
      </w:rPr>
    </w:lvl>
  </w:abstractNum>
  <w:abstractNum w:abstractNumId="3">
    <w:nsid w:val="0C052F58"/>
    <w:multiLevelType w:val="singleLevel"/>
    <w:tmpl w:val="0C052F58"/>
    <w:lvl w:ilvl="0" w:tentative="0">
      <w:start w:val="2"/>
      <w:numFmt w:val="decimal"/>
      <w:suff w:val="nothing"/>
      <w:lvlText w:val="（%1）"/>
      <w:lvlJc w:val="left"/>
    </w:lvl>
  </w:abstractNum>
  <w:abstractNum w:abstractNumId="4">
    <w:nsid w:val="2E9825FC"/>
    <w:multiLevelType w:val="singleLevel"/>
    <w:tmpl w:val="2E9825FC"/>
    <w:lvl w:ilvl="0" w:tentative="0">
      <w:start w:val="1"/>
      <w:numFmt w:val="decimal"/>
      <w:suff w:val="nothing"/>
      <w:lvlText w:val="%1．"/>
      <w:lvlJc w:val="left"/>
    </w:lvl>
  </w:abstractNum>
  <w:abstractNum w:abstractNumId="5">
    <w:nsid w:val="5A9F430E"/>
    <w:multiLevelType w:val="multilevel"/>
    <w:tmpl w:val="5A9F430E"/>
    <w:lvl w:ilvl="0" w:tentative="0">
      <w:start w:val="1"/>
      <w:numFmt w:val="japaneseCounting"/>
      <w:lvlText w:val="（%1）"/>
      <w:lvlJc w:val="left"/>
      <w:pPr>
        <w:ind w:left="13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69"/>
    <w:rsid w:val="0000085A"/>
    <w:rsid w:val="000225D6"/>
    <w:rsid w:val="0004032C"/>
    <w:rsid w:val="000544C2"/>
    <w:rsid w:val="00082569"/>
    <w:rsid w:val="00096722"/>
    <w:rsid w:val="0010569D"/>
    <w:rsid w:val="00117EED"/>
    <w:rsid w:val="00123CD7"/>
    <w:rsid w:val="00123E57"/>
    <w:rsid w:val="00126893"/>
    <w:rsid w:val="00135694"/>
    <w:rsid w:val="00167993"/>
    <w:rsid w:val="00180AF4"/>
    <w:rsid w:val="001C2E34"/>
    <w:rsid w:val="001C5034"/>
    <w:rsid w:val="001C57E4"/>
    <w:rsid w:val="001D1F8A"/>
    <w:rsid w:val="001D45BB"/>
    <w:rsid w:val="002155E1"/>
    <w:rsid w:val="00276BEC"/>
    <w:rsid w:val="00297C1A"/>
    <w:rsid w:val="002A6AF1"/>
    <w:rsid w:val="002B06F4"/>
    <w:rsid w:val="002C22DC"/>
    <w:rsid w:val="002C2BB5"/>
    <w:rsid w:val="002F277E"/>
    <w:rsid w:val="002F68A8"/>
    <w:rsid w:val="00307555"/>
    <w:rsid w:val="00323A62"/>
    <w:rsid w:val="00366306"/>
    <w:rsid w:val="00372531"/>
    <w:rsid w:val="00385694"/>
    <w:rsid w:val="00395730"/>
    <w:rsid w:val="00396893"/>
    <w:rsid w:val="00397F73"/>
    <w:rsid w:val="003A744A"/>
    <w:rsid w:val="003B0B2A"/>
    <w:rsid w:val="003B61FB"/>
    <w:rsid w:val="003C4273"/>
    <w:rsid w:val="003C444D"/>
    <w:rsid w:val="003F6F27"/>
    <w:rsid w:val="004148BD"/>
    <w:rsid w:val="00432766"/>
    <w:rsid w:val="00445A0B"/>
    <w:rsid w:val="0046531C"/>
    <w:rsid w:val="00466D58"/>
    <w:rsid w:val="00485447"/>
    <w:rsid w:val="00485B40"/>
    <w:rsid w:val="004A00A0"/>
    <w:rsid w:val="004E3651"/>
    <w:rsid w:val="004F01C0"/>
    <w:rsid w:val="005037BE"/>
    <w:rsid w:val="0050759D"/>
    <w:rsid w:val="00585DEF"/>
    <w:rsid w:val="005A5B25"/>
    <w:rsid w:val="005D2F92"/>
    <w:rsid w:val="005D667A"/>
    <w:rsid w:val="00601CCD"/>
    <w:rsid w:val="00617CF6"/>
    <w:rsid w:val="00651250"/>
    <w:rsid w:val="00652BE8"/>
    <w:rsid w:val="0067733D"/>
    <w:rsid w:val="006815F0"/>
    <w:rsid w:val="00683D66"/>
    <w:rsid w:val="006856EA"/>
    <w:rsid w:val="00694223"/>
    <w:rsid w:val="00697EF2"/>
    <w:rsid w:val="006A5E64"/>
    <w:rsid w:val="006B56D8"/>
    <w:rsid w:val="006C4280"/>
    <w:rsid w:val="006D1826"/>
    <w:rsid w:val="006E3E13"/>
    <w:rsid w:val="006E5CD0"/>
    <w:rsid w:val="00720945"/>
    <w:rsid w:val="007809E5"/>
    <w:rsid w:val="0079567A"/>
    <w:rsid w:val="007E35E2"/>
    <w:rsid w:val="007F5E11"/>
    <w:rsid w:val="00856D1E"/>
    <w:rsid w:val="00883463"/>
    <w:rsid w:val="00891EC1"/>
    <w:rsid w:val="008B1533"/>
    <w:rsid w:val="008B2298"/>
    <w:rsid w:val="008B783E"/>
    <w:rsid w:val="008C4657"/>
    <w:rsid w:val="008D1EC6"/>
    <w:rsid w:val="008E3D24"/>
    <w:rsid w:val="008F762D"/>
    <w:rsid w:val="00920BEF"/>
    <w:rsid w:val="00931C12"/>
    <w:rsid w:val="00956E9E"/>
    <w:rsid w:val="00974948"/>
    <w:rsid w:val="00995B64"/>
    <w:rsid w:val="009C3BFB"/>
    <w:rsid w:val="009D2E78"/>
    <w:rsid w:val="009F4778"/>
    <w:rsid w:val="00A4437A"/>
    <w:rsid w:val="00A47E4B"/>
    <w:rsid w:val="00A622D4"/>
    <w:rsid w:val="00A71483"/>
    <w:rsid w:val="00A81F87"/>
    <w:rsid w:val="00A95216"/>
    <w:rsid w:val="00AA3ED1"/>
    <w:rsid w:val="00AE2B10"/>
    <w:rsid w:val="00AE3538"/>
    <w:rsid w:val="00AE6F96"/>
    <w:rsid w:val="00B00CB1"/>
    <w:rsid w:val="00B119D3"/>
    <w:rsid w:val="00B34CEA"/>
    <w:rsid w:val="00B83376"/>
    <w:rsid w:val="00B956A5"/>
    <w:rsid w:val="00BB770B"/>
    <w:rsid w:val="00BE08A1"/>
    <w:rsid w:val="00C0679C"/>
    <w:rsid w:val="00C41274"/>
    <w:rsid w:val="00C474A0"/>
    <w:rsid w:val="00C73035"/>
    <w:rsid w:val="00C91F40"/>
    <w:rsid w:val="00CA11B8"/>
    <w:rsid w:val="00CA19F5"/>
    <w:rsid w:val="00CD2D7D"/>
    <w:rsid w:val="00CF07BD"/>
    <w:rsid w:val="00CF2FC6"/>
    <w:rsid w:val="00CF5A7F"/>
    <w:rsid w:val="00D224C0"/>
    <w:rsid w:val="00D32546"/>
    <w:rsid w:val="00DA3016"/>
    <w:rsid w:val="00DA7947"/>
    <w:rsid w:val="00DC318B"/>
    <w:rsid w:val="00E1785D"/>
    <w:rsid w:val="00E334A8"/>
    <w:rsid w:val="00E50A35"/>
    <w:rsid w:val="00E658D3"/>
    <w:rsid w:val="00E96F10"/>
    <w:rsid w:val="00EB5C5C"/>
    <w:rsid w:val="00EC7C8E"/>
    <w:rsid w:val="00EE743B"/>
    <w:rsid w:val="00F37618"/>
    <w:rsid w:val="00F6500E"/>
    <w:rsid w:val="00F6739B"/>
    <w:rsid w:val="00F67A14"/>
    <w:rsid w:val="00F84836"/>
    <w:rsid w:val="00F90451"/>
    <w:rsid w:val="00FA150F"/>
    <w:rsid w:val="00FB07D2"/>
    <w:rsid w:val="00FB5C6A"/>
    <w:rsid w:val="00FF7CDA"/>
    <w:rsid w:val="013843F0"/>
    <w:rsid w:val="01AE3F07"/>
    <w:rsid w:val="064A4D33"/>
    <w:rsid w:val="0BFE4BC0"/>
    <w:rsid w:val="0C0660D7"/>
    <w:rsid w:val="0E10072B"/>
    <w:rsid w:val="17064573"/>
    <w:rsid w:val="25494DA0"/>
    <w:rsid w:val="29005E0B"/>
    <w:rsid w:val="29A86C79"/>
    <w:rsid w:val="37E728F7"/>
    <w:rsid w:val="39000419"/>
    <w:rsid w:val="3AAD5516"/>
    <w:rsid w:val="3C502963"/>
    <w:rsid w:val="3CE83282"/>
    <w:rsid w:val="3DB15DE3"/>
    <w:rsid w:val="3FDB60C3"/>
    <w:rsid w:val="421C3F2B"/>
    <w:rsid w:val="4B7E4DA2"/>
    <w:rsid w:val="4D2633D8"/>
    <w:rsid w:val="52B31E5F"/>
    <w:rsid w:val="54D94659"/>
    <w:rsid w:val="56636102"/>
    <w:rsid w:val="58133AEB"/>
    <w:rsid w:val="59721CD3"/>
    <w:rsid w:val="5C694603"/>
    <w:rsid w:val="5F9C49B6"/>
    <w:rsid w:val="64222FC0"/>
    <w:rsid w:val="675419ED"/>
    <w:rsid w:val="69D90CC4"/>
    <w:rsid w:val="78C66E84"/>
    <w:rsid w:val="7F89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hint="eastAsia" w:ascii="宋体" w:hAnsi="Courier New"/>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link w:val="16"/>
    <w:semiHidden/>
    <w:unhideWhenUsed/>
    <w:qFormat/>
    <w:uiPriority w:val="0"/>
    <w:pPr>
      <w:spacing w:after="120"/>
    </w:pPr>
    <w:rPr>
      <w:rFonts w:ascii="Times New Roman" w:hAnsi="Times New Roman" w:eastAsia="宋体" w:cs="Times New Roman"/>
    </w:r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index 9"/>
    <w:basedOn w:val="1"/>
    <w:next w:val="1"/>
    <w:qFormat/>
    <w:uiPriority w:val="0"/>
    <w:pPr>
      <w:ind w:left="3360"/>
    </w:pPr>
  </w:style>
  <w:style w:type="paragraph" w:styleId="9">
    <w:name w:val="Normal (Web)"/>
    <w:basedOn w:val="1"/>
    <w:next w:val="8"/>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3"/>
    <w:qFormat/>
    <w:uiPriority w:val="0"/>
    <w:rPr>
      <w:rFonts w:asciiTheme="minorHAnsi" w:hAnsiTheme="minorHAnsi" w:eastAsiaTheme="minorEastAsia" w:cstheme="minorBidi"/>
      <w:kern w:val="2"/>
      <w:sz w:val="18"/>
      <w:szCs w:val="18"/>
    </w:rPr>
  </w:style>
  <w:style w:type="character" w:customStyle="1" w:styleId="13">
    <w:name w:val="页脚 Char"/>
    <w:basedOn w:val="11"/>
    <w:link w:val="7"/>
    <w:qFormat/>
    <w:uiPriority w:val="0"/>
    <w:rPr>
      <w:rFonts w:asciiTheme="minorHAnsi" w:hAnsiTheme="minorHAnsi" w:eastAsiaTheme="minorEastAsia" w:cstheme="minorBidi"/>
      <w:kern w:val="2"/>
      <w:sz w:val="18"/>
      <w:szCs w:val="18"/>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正文文本 Char"/>
    <w:basedOn w:val="11"/>
    <w:link w:val="5"/>
    <w:semiHidden/>
    <w:qFormat/>
    <w:uiPriority w:val="0"/>
    <w:rPr>
      <w:kern w:val="2"/>
      <w:sz w:val="21"/>
      <w:szCs w:val="24"/>
    </w:rPr>
  </w:style>
  <w:style w:type="paragraph" w:customStyle="1" w:styleId="17">
    <w:name w:val="_Style 1"/>
    <w:basedOn w:val="1"/>
    <w:qFormat/>
    <w:uiPriority w:val="34"/>
    <w:pPr>
      <w:ind w:firstLine="420" w:firstLineChars="200"/>
    </w:pPr>
    <w:rPr>
      <w:kern w:val="0"/>
      <w:sz w:val="20"/>
      <w:szCs w:val="20"/>
    </w:rPr>
  </w:style>
  <w:style w:type="paragraph" w:customStyle="1" w:styleId="18">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0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0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0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[01]Sheet2!数据透视表6</c:name>
    <c:fmtId val="-1"/>
  </c:pivotSource>
  <c:chart>
    <c:autoTitleDeleted val="1"/>
    <c:plotArea>
      <c:layout/>
      <c:pieChart>
        <c:varyColors val="1"/>
        <c:ser>
          <c:idx val="0"/>
          <c:order val="0"/>
          <c:tx>
            <c:strRef>
              <c:f>[01]Sheet2!$B$3</c:f>
              <c:strCache>
                <c:ptCount val="1"/>
                <c:pt idx="0">
                  <c:v>汇总</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Lbls>
            <c:dLbl>
              <c:idx val="0"/>
              <c:layout>
                <c:manualLayout>
                  <c:x val="0.247149916462838"/>
                  <c:y val="-0.0051407768424544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94997115739545"/>
                  <c:y val="0.11665899154188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60848706524462"/>
                  <c:y val="0.37544582559410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46878955941122"/>
                  <c:y val="0.082930944483430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468777299236263"/>
                  <c:y val="0.00764032192897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34145263551369"/>
                  <c:y val="0.278872816935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67219159325606"/>
                  <c:y val="-0.064409685590631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130816143032221"/>
                  <c:y val="-0.099502310091248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535474653302333"/>
                  <c:y val="-0.054294770712138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0"/>
              <c:layout>
                <c:manualLayout>
                  <c:x val="0.14257567625086"/>
                  <c:y val="-0.067730366914959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[01]Sheet2!$A$4:$A$15</c:f>
              <c:strCache>
                <c:ptCount val="11"/>
                <c:pt idx="0">
                  <c:v>公务员医疗补助</c:v>
                </c:pt>
                <c:pt idx="1">
                  <c:v>行政单位医疗</c:v>
                </c:pt>
                <c:pt idx="2">
                  <c:v>行政运行</c:v>
                </c:pt>
                <c:pt idx="3">
                  <c:v>机关事业单位基本养老保险缴费支出</c:v>
                </c:pt>
                <c:pt idx="4">
                  <c:v>派驻派出机构</c:v>
                </c:pt>
                <c:pt idx="5">
                  <c:v>其它共产党事务支出</c:v>
                </c:pt>
                <c:pt idx="6">
                  <c:v>其它行政事业单位医疗支出</c:v>
                </c:pt>
                <c:pt idx="7">
                  <c:v>其它进修及培训</c:v>
                </c:pt>
                <c:pt idx="8">
                  <c:v>其它组织事务支出</c:v>
                </c:pt>
                <c:pt idx="9">
                  <c:v>死亡抚恤</c:v>
                </c:pt>
                <c:pt idx="10">
                  <c:v>住房公积金</c:v>
                </c:pt>
              </c:strCache>
            </c:strRef>
          </c:cat>
          <c:val>
            <c:numRef>
              <c:f>[01]Sheet2!$B$4:$B$15</c:f>
              <c:numCache>
                <c:formatCode>General</c:formatCode>
                <c:ptCount val="11"/>
                <c:pt idx="0">
                  <c:v>0.0146</c:v>
                </c:pt>
                <c:pt idx="1">
                  <c:v>0.0315</c:v>
                </c:pt>
                <c:pt idx="2">
                  <c:v>0.7335</c:v>
                </c:pt>
                <c:pt idx="3">
                  <c:v>0.0434</c:v>
                </c:pt>
                <c:pt idx="4">
                  <c:v>0.0199</c:v>
                </c:pt>
                <c:pt idx="5">
                  <c:v>0</c:v>
                </c:pt>
                <c:pt idx="6">
                  <c:v>0.0005</c:v>
                </c:pt>
                <c:pt idx="7">
                  <c:v>0.0512</c:v>
                </c:pt>
                <c:pt idx="8">
                  <c:v>0</c:v>
                </c:pt>
                <c:pt idx="9">
                  <c:v>0.051</c:v>
                </c:pt>
                <c:pt idx="10">
                  <c:v>0.0544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[01]Sheet2!数据透视表6</c:name>
    <c:fmtId val="-1"/>
  </c:pivotSource>
  <c:chart>
    <c:autoTitleDeleted val="1"/>
    <c:plotArea>
      <c:layout/>
      <c:pieChart>
        <c:varyColors val="1"/>
        <c:ser>
          <c:idx val="0"/>
          <c:order val="0"/>
          <c:tx>
            <c:strRef>
              <c:f>[01]Sheet2!$B$3</c:f>
              <c:strCache>
                <c:ptCount val="1"/>
                <c:pt idx="0">
                  <c:v>汇总</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Lbls>
            <c:dLbl>
              <c:idx val="0"/>
              <c:layout>
                <c:manualLayout>
                  <c:x val="0.247149916462838"/>
                  <c:y val="-0.0051407768424544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94997115739545"/>
                  <c:y val="0.11665899154188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60848706524462"/>
                  <c:y val="0.37544582559410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46878955941122"/>
                  <c:y val="0.082930944483430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468777299236263"/>
                  <c:y val="0.00764032192897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34145263551369"/>
                  <c:y val="0.278872816935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67219159325606"/>
                  <c:y val="-0.064409685590631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130816143032221"/>
                  <c:y val="-0.099502310091248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535474653302333"/>
                  <c:y val="-0.054294770712138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0"/>
              <c:layout>
                <c:manualLayout>
                  <c:x val="0.14257567625086"/>
                  <c:y val="-0.0677303669149592"/>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[01]Sheet2!$A$4:$A$15</c:f>
              <c:strCache>
                <c:ptCount val="11"/>
                <c:pt idx="0">
                  <c:v>公务员医疗补助</c:v>
                </c:pt>
                <c:pt idx="1">
                  <c:v>行政单位医疗</c:v>
                </c:pt>
                <c:pt idx="2">
                  <c:v>行政运行</c:v>
                </c:pt>
                <c:pt idx="3">
                  <c:v>机关事业单位基本养老保险缴费支出</c:v>
                </c:pt>
                <c:pt idx="4">
                  <c:v>派驻派出机构</c:v>
                </c:pt>
                <c:pt idx="5">
                  <c:v>其它共产党事务支出</c:v>
                </c:pt>
                <c:pt idx="6">
                  <c:v>其它行政事业单位医疗支出</c:v>
                </c:pt>
                <c:pt idx="7">
                  <c:v>其它进修及培训</c:v>
                </c:pt>
                <c:pt idx="8">
                  <c:v>其它组织事务支出</c:v>
                </c:pt>
                <c:pt idx="9">
                  <c:v>死亡抚恤</c:v>
                </c:pt>
                <c:pt idx="10">
                  <c:v>住房公积金</c:v>
                </c:pt>
              </c:strCache>
            </c:strRef>
          </c:cat>
          <c:val>
            <c:numRef>
              <c:f>[01]Sheet2!$B$4:$B$15</c:f>
              <c:numCache>
                <c:formatCode>General</c:formatCode>
                <c:ptCount val="11"/>
                <c:pt idx="0">
                  <c:v>0.0146</c:v>
                </c:pt>
                <c:pt idx="1">
                  <c:v>0.0315</c:v>
                </c:pt>
                <c:pt idx="2">
                  <c:v>0.7335</c:v>
                </c:pt>
                <c:pt idx="3">
                  <c:v>0.0434</c:v>
                </c:pt>
                <c:pt idx="4">
                  <c:v>0.0199</c:v>
                </c:pt>
                <c:pt idx="5">
                  <c:v>0</c:v>
                </c:pt>
                <c:pt idx="6">
                  <c:v>0.0005</c:v>
                </c:pt>
                <c:pt idx="7">
                  <c:v>0.0512</c:v>
                </c:pt>
                <c:pt idx="8">
                  <c:v>0</c:v>
                </c:pt>
                <c:pt idx="9">
                  <c:v>0.051</c:v>
                </c:pt>
                <c:pt idx="10">
                  <c:v>0.0544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[01]Sheet3!数据透视表7</c:name>
    <c:fmtId val="-1"/>
  </c:pivotSource>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[01]Sheet3!$I$11</c:f>
              <c:strCache>
                <c:ptCount val="1"/>
                <c:pt idx="0">
                  <c:v>求和项:2020年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[01]Sheet3!$H$12:$H$14</c:f>
              <c:strCache>
                <c:ptCount val="2"/>
                <c:pt idx="0">
                  <c:v> 收入</c:v>
                </c:pt>
                <c:pt idx="1">
                  <c:v>支出</c:v>
                </c:pt>
              </c:strCache>
            </c:strRef>
          </c:cat>
          <c:val>
            <c:numRef>
              <c:f>[01]Sheet3!$I$12:$I$14</c:f>
              <c:numCache>
                <c:formatCode>General</c:formatCode>
                <c:ptCount val="2"/>
                <c:pt idx="0">
                  <c:v>328.68</c:v>
                </c:pt>
                <c:pt idx="1">
                  <c:v>330.53</c:v>
                </c:pt>
              </c:numCache>
            </c:numRef>
          </c:val>
        </c:ser>
        <c:ser>
          <c:idx val="1"/>
          <c:order val="1"/>
          <c:tx>
            <c:strRef>
              <c:f>[01]Sheet3!$J$11</c:f>
              <c:strCache>
                <c:ptCount val="1"/>
                <c:pt idx="0">
                  <c:v>求和项:2021年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[01]Sheet3!$H$12:$H$14</c:f>
              <c:strCache>
                <c:ptCount val="2"/>
                <c:pt idx="0">
                  <c:v> 收入</c:v>
                </c:pt>
                <c:pt idx="1">
                  <c:v>支出</c:v>
                </c:pt>
              </c:strCache>
            </c:strRef>
          </c:cat>
          <c:val>
            <c:numRef>
              <c:f>[01]Sheet3!$J$12:$J$14</c:f>
              <c:numCache>
                <c:formatCode>General</c:formatCode>
                <c:ptCount val="2"/>
                <c:pt idx="0">
                  <c:v>351.74</c:v>
                </c:pt>
                <c:pt idx="1">
                  <c:v>351.74</c:v>
                </c:pt>
              </c:numCache>
            </c:numRef>
          </c:val>
        </c:ser>
        <c:dLbls>
          <c:showLegendKey val="0"/>
          <c:showVal val="1"/>
          <c:showCatName val="0"/>
          <c:showSerName val="0"/>
          <c:showPercent val="0"/>
          <c:showBubbleSize val="0"/>
        </c:dLbls>
        <c:gapWidth val="75"/>
        <c:overlap val="-25"/>
        <c:axId val="551148998"/>
        <c:axId val="276930652"/>
      </c:barChart>
      <c:catAx>
        <c:axId val="5511489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930652"/>
        <c:crosses val="autoZero"/>
        <c:auto val="1"/>
        <c:lblAlgn val="ctr"/>
        <c:lblOffset val="100"/>
        <c:noMultiLvlLbl val="0"/>
      </c:catAx>
      <c:valAx>
        <c:axId val="2769306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1489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0BBEF1-E646-4436-8654-48314094AA73}">
  <ds:schemaRefs/>
</ds:datastoreItem>
</file>

<file path=docProps/app.xml><?xml version="1.0" encoding="utf-8"?>
<Properties xmlns="http://schemas.openxmlformats.org/officeDocument/2006/extended-properties" xmlns:vt="http://schemas.openxmlformats.org/officeDocument/2006/docPropsVTypes">
  <Template>Normal</Template>
  <Pages>13</Pages>
  <Words>1016</Words>
  <Characters>5795</Characters>
  <Lines>48</Lines>
  <Paragraphs>13</Paragraphs>
  <TotalTime>4</TotalTime>
  <ScaleCrop>false</ScaleCrop>
  <LinksUpToDate>false</LinksUpToDate>
  <CharactersWithSpaces>6798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2020-02-18T17:20:00Z</dcterms:created>
  <dc:creator>Administrator</dc:creator>
  <cp:lastModifiedBy>Administrator</cp:lastModifiedBy>
  <cp:lastPrinted>2019-02-21T03:45:00Z</cp:lastPrinted>
  <dcterms:modified xsi:type="dcterms:W3CDTF">2022-03-21T07:39:10Z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677E9D4778E744709A0EDB9036D1E94A</vt:lpwstr>
  </property>
</Properties>
</file>