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cs="黑体"/>
          <w:b/>
          <w:color w:val="000000"/>
          <w:sz w:val="44"/>
          <w:szCs w:val="44"/>
        </w:rPr>
      </w:pPr>
      <w:bookmarkStart w:id="0" w:name="_GoBack"/>
      <w:bookmarkEnd w:id="0"/>
      <w:r>
        <w:rPr>
          <w:rFonts w:hint="eastAsia" w:ascii="仿宋_GB2312" w:hAnsi="仿宋" w:eastAsia="仿宋_GB2312" w:cs="黑体"/>
          <w:b/>
          <w:color w:val="000000"/>
          <w:sz w:val="44"/>
          <w:szCs w:val="44"/>
        </w:rPr>
        <w:t>中国共产党景德镇市直属机关工作委员会</w:t>
      </w:r>
    </w:p>
    <w:p>
      <w:pPr>
        <w:ind w:firstLine="1440" w:firstLineChars="400"/>
        <w:jc w:val="both"/>
        <w:rPr>
          <w:rFonts w:ascii="华文中宋" w:hAnsi="华文中宋" w:eastAsia="华文中宋" w:cs="黑体"/>
          <w:color w:val="000000"/>
          <w:sz w:val="36"/>
          <w:szCs w:val="32"/>
        </w:rPr>
      </w:pPr>
      <w:r>
        <w:rPr>
          <w:rFonts w:hint="eastAsia" w:ascii="华文中宋" w:hAnsi="华文中宋" w:eastAsia="华文中宋" w:cs="黑体"/>
          <w:color w:val="000000"/>
          <w:sz w:val="36"/>
          <w:szCs w:val="32"/>
        </w:rPr>
        <w:t>202</w:t>
      </w:r>
      <w:r>
        <w:rPr>
          <w:rFonts w:hint="eastAsia" w:ascii="华文中宋" w:hAnsi="华文中宋" w:eastAsia="华文中宋" w:cs="黑体"/>
          <w:color w:val="000000"/>
          <w:sz w:val="36"/>
          <w:szCs w:val="32"/>
          <w:lang w:val="en-US" w:eastAsia="zh-CN"/>
        </w:rPr>
        <w:t>1</w:t>
      </w:r>
      <w:r>
        <w:rPr>
          <w:rFonts w:hint="eastAsia" w:ascii="华文中宋" w:hAnsi="华文中宋" w:eastAsia="华文中宋" w:cs="黑体"/>
          <w:color w:val="000000"/>
          <w:sz w:val="36"/>
          <w:szCs w:val="32"/>
        </w:rPr>
        <w:t>年度部门决算报表填报说明</w:t>
      </w:r>
    </w:p>
    <w:p>
      <w:pPr>
        <w:widowControl/>
        <w:spacing w:line="211" w:lineRule="atLeast"/>
        <w:jc w:val="center"/>
        <w:rPr>
          <w:rFonts w:ascii="华文中宋" w:hAnsi="华文中宋" w:eastAsia="华文中宋" w:cs="宋体"/>
          <w:color w:val="000000"/>
          <w:kern w:val="0"/>
          <w:sz w:val="36"/>
          <w:szCs w:val="32"/>
        </w:rPr>
      </w:pPr>
      <w:r>
        <w:rPr>
          <w:rFonts w:hint="eastAsia" w:ascii="华文中宋" w:hAnsi="华文中宋" w:eastAsia="华文中宋" w:cs="宋体"/>
          <w:color w:val="000000"/>
          <w:kern w:val="0"/>
          <w:sz w:val="36"/>
          <w:szCs w:val="32"/>
        </w:rPr>
        <w:t>（</w:t>
      </w:r>
      <w:r>
        <w:rPr>
          <w:rFonts w:hint="eastAsia" w:ascii="华文中宋" w:hAnsi="华文中宋" w:eastAsia="华文中宋" w:cs="黑体"/>
          <w:color w:val="000000"/>
          <w:sz w:val="36"/>
          <w:szCs w:val="32"/>
        </w:rPr>
        <w:t>基层单位</w:t>
      </w:r>
      <w:r>
        <w:rPr>
          <w:rFonts w:hint="eastAsia" w:ascii="华文中宋" w:hAnsi="华文中宋" w:eastAsia="华文中宋" w:cs="宋体"/>
          <w:color w:val="000000"/>
          <w:kern w:val="0"/>
          <w:sz w:val="36"/>
          <w:szCs w:val="32"/>
        </w:rPr>
        <w:t>）</w:t>
      </w:r>
    </w:p>
    <w:p>
      <w:pPr>
        <w:jc w:val="center"/>
        <w:rPr>
          <w:rFonts w:ascii="仿宋_GB2312" w:hAnsi="华文中宋" w:eastAsia="仿宋_GB2312" w:cs="黑体"/>
          <w:color w:val="000000"/>
          <w:sz w:val="32"/>
          <w:szCs w:val="32"/>
        </w:rPr>
      </w:pP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一、决算信息来源说明</w:t>
      </w:r>
    </w:p>
    <w:p>
      <w:pPr>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本套决算依据本单位登记完整、核对无误的账簿记录和其他有关会计核算资料编制，账证相符、账实相符、账表相符、表表相符，真实、准确、完整地反映了本单位预算执行结果和财务状况。</w:t>
      </w:r>
    </w:p>
    <w:p>
      <w:pPr>
        <w:ind w:firstLine="640" w:firstLineChars="200"/>
        <w:rPr>
          <w:rFonts w:ascii="仿宋_GB2312" w:hAnsi="仿宋" w:eastAsia="仿宋_GB2312" w:cs="黑体"/>
          <w:color w:val="000000"/>
          <w:sz w:val="32"/>
          <w:szCs w:val="32"/>
        </w:rPr>
      </w:pPr>
      <w:r>
        <w:rPr>
          <w:rFonts w:hint="eastAsia" w:ascii="仿宋_GB2312" w:hAnsi="仿宋" w:eastAsia="仿宋_GB2312"/>
          <w:sz w:val="32"/>
          <w:szCs w:val="32"/>
        </w:rPr>
        <w:t>（一）本套决算主表数据主要依据本单位会计账簿总账及明细账数据填列，预算数据依据本单位预、决算批复文件及预算调整文件填列。</w:t>
      </w:r>
    </w:p>
    <w:p>
      <w:pPr>
        <w:ind w:firstLine="640" w:firstLineChars="200"/>
        <w:rPr>
          <w:rFonts w:ascii="仿宋_GB2312" w:hAnsi="仿宋" w:eastAsia="仿宋_GB2312"/>
          <w:sz w:val="32"/>
          <w:szCs w:val="32"/>
        </w:rPr>
      </w:pPr>
      <w:r>
        <w:rPr>
          <w:rFonts w:hint="eastAsia" w:ascii="仿宋_GB2312" w:hAnsi="仿宋" w:eastAsia="仿宋_GB2312"/>
          <w:sz w:val="32"/>
          <w:szCs w:val="32"/>
        </w:rPr>
        <w:t>（二）本套决算附表数据主要依据本单位会计账簿、资产、人事台账及相关资料填列。</w:t>
      </w:r>
    </w:p>
    <w:p>
      <w:pPr>
        <w:ind w:firstLine="640" w:firstLineChars="200"/>
        <w:rPr>
          <w:rFonts w:ascii="黑体" w:hAnsi="黑体" w:eastAsia="黑体" w:cs="黑体"/>
          <w:sz w:val="32"/>
          <w:szCs w:val="32"/>
        </w:rPr>
      </w:pPr>
      <w:r>
        <w:rPr>
          <w:rFonts w:hint="eastAsia" w:ascii="黑体" w:hAnsi="黑体" w:eastAsia="黑体" w:cs="黑体"/>
          <w:sz w:val="32"/>
          <w:szCs w:val="32"/>
        </w:rPr>
        <w:t>二、决算编制基本情况</w:t>
      </w:r>
    </w:p>
    <w:p>
      <w:pPr>
        <w:ind w:firstLine="567"/>
        <w:rPr>
          <w:rFonts w:ascii="仿宋_GB2312" w:hAnsi="仿宋" w:eastAsia="仿宋_GB2312" w:cs="仿宋"/>
          <w:bCs/>
          <w:sz w:val="32"/>
          <w:szCs w:val="32"/>
        </w:rPr>
      </w:pPr>
      <w:r>
        <w:rPr>
          <w:rFonts w:hint="eastAsia" w:ascii="仿宋_GB2312" w:hAnsi="仿宋" w:eastAsia="仿宋_GB2312" w:cs="仿宋"/>
          <w:bCs/>
          <w:sz w:val="32"/>
          <w:szCs w:val="32"/>
        </w:rPr>
        <w:t>本单位为</w:t>
      </w:r>
      <w:r>
        <w:rPr>
          <w:rFonts w:hint="eastAsia" w:ascii="仿宋_GB2312" w:hAnsi="仿宋" w:eastAsia="仿宋_GB2312" w:cs="仿宋"/>
          <w:bCs/>
          <w:sz w:val="32"/>
          <w:szCs w:val="32"/>
          <w:u w:val="single"/>
        </w:rPr>
        <w:t>中国共产党景德镇市直</w:t>
      </w:r>
      <w:r>
        <w:rPr>
          <w:rFonts w:hint="eastAsia" w:ascii="仿宋_GB2312" w:hAnsi="仿宋" w:eastAsia="仿宋_GB2312" w:cs="仿宋"/>
          <w:bCs/>
          <w:sz w:val="32"/>
          <w:szCs w:val="32"/>
          <w:u w:val="single"/>
          <w:lang w:eastAsia="zh-CN"/>
        </w:rPr>
        <w:t>属</w:t>
      </w:r>
      <w:r>
        <w:rPr>
          <w:rFonts w:hint="eastAsia" w:ascii="仿宋_GB2312" w:hAnsi="仿宋" w:eastAsia="仿宋_GB2312" w:cs="仿宋"/>
          <w:bCs/>
          <w:sz w:val="32"/>
          <w:szCs w:val="32"/>
          <w:u w:val="single"/>
        </w:rPr>
        <w:t xml:space="preserve">机关工作委员会      </w:t>
      </w:r>
      <w:r>
        <w:rPr>
          <w:rFonts w:hint="eastAsia" w:ascii="仿宋_GB2312" w:hAnsi="仿宋" w:eastAsia="仿宋_GB2312" w:cs="仿宋"/>
          <w:bCs/>
          <w:sz w:val="32"/>
          <w:szCs w:val="32"/>
        </w:rPr>
        <w:t>（填列一级预算单位名称）所属</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lang w:eastAsia="zh-CN"/>
        </w:rPr>
        <w:t>一</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级（</w:t>
      </w:r>
      <w:r>
        <w:rPr>
          <w:rFonts w:hint="eastAsia" w:ascii="仿宋_GB2312" w:hAnsi="仿宋" w:eastAsia="仿宋_GB2312" w:cs="仿宋"/>
          <w:bCs/>
          <w:spacing w:val="14"/>
          <w:sz w:val="32"/>
          <w:szCs w:val="32"/>
        </w:rPr>
        <w:t>按封面“单位预算级次”填列）预算单位，单位性质</w:t>
      </w:r>
      <w:r>
        <w:rPr>
          <w:rFonts w:hint="eastAsia" w:ascii="仿宋_GB2312" w:hAnsi="仿宋" w:eastAsia="仿宋_GB2312" w:cs="仿宋"/>
          <w:bCs/>
          <w:sz w:val="32"/>
          <w:szCs w:val="32"/>
        </w:rPr>
        <w:t>为</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lang w:eastAsia="zh-CN"/>
        </w:rPr>
        <w:t>行政</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单位（按封面“单位基本性质”填列），决算编报类型为</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lang w:eastAsia="zh-CN"/>
        </w:rPr>
        <w:t>单户表</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（按封面“报表类型”填列），按照</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lang w:val="en-US" w:eastAsia="zh-CN"/>
        </w:rPr>
        <w:t xml:space="preserve"> </w:t>
      </w:r>
      <w:r>
        <w:rPr>
          <w:rFonts w:hint="eastAsia" w:ascii="仿宋_GB2312" w:hAnsi="仿宋" w:eastAsia="仿宋_GB2312" w:cs="仿宋"/>
          <w:bCs/>
          <w:sz w:val="32"/>
          <w:szCs w:val="32"/>
          <w:u w:val="single"/>
          <w:lang w:eastAsia="zh-CN"/>
        </w:rPr>
        <w:t>政府</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会计制度填报决算数据（按封面“单位执行会计制度”填列）。</w:t>
      </w:r>
    </w:p>
    <w:p>
      <w:pPr>
        <w:ind w:firstLine="567"/>
        <w:rPr>
          <w:rFonts w:ascii="仿宋_GB2312" w:hAnsi="仿宋" w:eastAsia="仿宋_GB2312" w:cs="仿宋"/>
          <w:bCs/>
          <w:sz w:val="32"/>
          <w:szCs w:val="32"/>
        </w:rPr>
      </w:pPr>
      <w:r>
        <w:rPr>
          <w:rFonts w:hint="eastAsia" w:ascii="仿宋_GB2312" w:hAnsi="仿宋" w:eastAsia="仿宋_GB2312" w:cs="仿宋"/>
          <w:bCs/>
          <w:sz w:val="32"/>
          <w:szCs w:val="32"/>
        </w:rPr>
        <w:t>纳入本套决算编制范围的独立核算单位共</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lang w:val="en-US" w:eastAsia="zh-CN"/>
        </w:rPr>
        <w:t>1</w:t>
      </w:r>
      <w:r>
        <w:rPr>
          <w:rFonts w:hint="eastAsia" w:ascii="仿宋_GB2312" w:hAnsi="仿宋" w:eastAsia="仿宋_GB2312" w:cs="仿宋"/>
          <w:bCs/>
          <w:sz w:val="32"/>
          <w:szCs w:val="32"/>
          <w:u w:val="single"/>
        </w:rPr>
        <w:t>　</w:t>
      </w:r>
      <w:r>
        <w:rPr>
          <w:rFonts w:hint="eastAsia" w:ascii="仿宋_GB2312" w:hAnsi="仿宋" w:eastAsia="仿宋_GB2312" w:cs="仿宋"/>
          <w:bCs/>
          <w:sz w:val="32"/>
          <w:szCs w:val="32"/>
        </w:rPr>
        <w:t>个，比上年增减</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lang w:val="en-US" w:eastAsia="zh-CN"/>
        </w:rPr>
        <w:t>0</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个，分别是</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（如有，可附表反映本套决算包含编制单位清单，包括单位名称和性质）。</w:t>
      </w:r>
    </w:p>
    <w:p>
      <w:pPr>
        <w:ind w:firstLine="707" w:firstLineChars="221"/>
        <w:rPr>
          <w:rFonts w:ascii="黑体" w:hAnsi="黑体" w:eastAsia="黑体" w:cs="Times New Roman"/>
          <w:color w:val="000000"/>
          <w:sz w:val="32"/>
          <w:szCs w:val="32"/>
        </w:rPr>
      </w:pPr>
      <w:r>
        <w:rPr>
          <w:rFonts w:hint="eastAsia" w:ascii="黑体" w:hAnsi="黑体" w:eastAsia="黑体" w:cs="黑体"/>
          <w:color w:val="000000"/>
          <w:sz w:val="32"/>
          <w:szCs w:val="32"/>
        </w:rPr>
        <w:t>三、基础数据核对情况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（一）财政资金对账情况。</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1．财政拨款核对情况。</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（1）单位本年度实际收到的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Times New Roman"/>
          <w:color w:val="000000"/>
          <w:sz w:val="32"/>
          <w:szCs w:val="32"/>
          <w:u w:val="single"/>
          <w:lang w:val="en-US" w:eastAsia="zh-CN"/>
        </w:rPr>
        <w:t>351.74</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万元，财政部门拨款对账单</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Times New Roman"/>
          <w:color w:val="000000"/>
          <w:sz w:val="32"/>
          <w:szCs w:val="32"/>
          <w:u w:val="single"/>
          <w:lang w:val="en-US" w:eastAsia="zh-CN"/>
        </w:rPr>
        <w:t>349.73</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万元，差额</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Times New Roman"/>
          <w:color w:val="000000"/>
          <w:sz w:val="32"/>
          <w:szCs w:val="32"/>
          <w:u w:val="single"/>
          <w:lang w:val="en-US" w:eastAsia="zh-CN"/>
        </w:rPr>
        <w:t>2.01</w:t>
      </w:r>
      <w:r>
        <w:rPr>
          <w:rFonts w:hint="eastAsia" w:ascii="仿宋_GB2312" w:hAnsi="仿宋" w:eastAsia="仿宋_GB2312" w:cs="仿宋"/>
          <w:color w:val="000000"/>
          <w:sz w:val="32"/>
          <w:szCs w:val="32"/>
        </w:rPr>
        <w:t>万元。差额原因</w:t>
      </w:r>
      <w:r>
        <w:rPr>
          <w:rFonts w:hint="eastAsia" w:ascii="仿宋_GB2312" w:hAnsi="仿宋" w:eastAsia="仿宋_GB2312" w:cs="仿宋"/>
          <w:color w:val="000000"/>
          <w:sz w:val="32"/>
          <w:szCs w:val="32"/>
          <w:lang w:eastAsia="zh-CN"/>
        </w:rPr>
        <w:t>为财政部门收回年初结转结余</w:t>
      </w:r>
      <w:r>
        <w:rPr>
          <w:rFonts w:hint="eastAsia" w:ascii="仿宋_GB2312" w:hAnsi="仿宋" w:eastAsia="仿宋_GB2312" w:cs="仿宋"/>
          <w:color w:val="000000"/>
          <w:sz w:val="32"/>
          <w:szCs w:val="32"/>
          <w:lang w:val="en-US" w:eastAsia="zh-CN"/>
        </w:rPr>
        <w:t>2.01万元</w:t>
      </w:r>
      <w:r>
        <w:rPr>
          <w:rFonts w:hint="eastAsia" w:ascii="仿宋_GB2312" w:hAnsi="仿宋" w:eastAsia="仿宋_GB2312" w:cs="仿宋"/>
          <w:color w:val="000000"/>
          <w:sz w:val="32"/>
          <w:szCs w:val="32"/>
        </w:rPr>
        <w:t>。</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（2）单位本年度政府性基金预算财政拨款收入</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Times New Roman"/>
          <w:color w:val="000000"/>
          <w:sz w:val="32"/>
          <w:szCs w:val="32"/>
          <w:u w:val="single"/>
          <w:lang w:val="en-US" w:eastAsia="zh-CN"/>
        </w:rPr>
        <w:t>0</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万元，财政部门拨款对账单</w:t>
      </w:r>
      <w:r>
        <w:rPr>
          <w:rFonts w:hint="eastAsia" w:ascii="仿宋_GB2312" w:eastAsia="仿宋_GB2312" w:cs="Times New Roman"/>
          <w:color w:val="000000"/>
          <w:sz w:val="32"/>
          <w:szCs w:val="32"/>
          <w:u w:val="single"/>
        </w:rPr>
        <w:t> </w:t>
      </w:r>
      <w:r>
        <w:rPr>
          <w:rFonts w:hint="eastAsia" w:ascii="宋体" w:hAnsi="宋体" w:cs="宋体"/>
          <w:color w:val="000000"/>
          <w:sz w:val="32"/>
          <w:szCs w:val="32"/>
          <w:u w:val="single"/>
        </w:rPr>
        <w:t> </w:t>
      </w:r>
      <w:r>
        <w:rPr>
          <w:rFonts w:hint="eastAsia" w:ascii="宋体" w:hAnsi="宋体" w:cs="宋体"/>
          <w:color w:val="000000"/>
          <w:sz w:val="32"/>
          <w:szCs w:val="32"/>
          <w:u w:val="single"/>
          <w:lang w:val="en-US" w:eastAsia="zh-CN"/>
        </w:rPr>
        <w:t>0</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u w:val="single"/>
        </w:rPr>
        <w:t> </w:t>
      </w:r>
      <w:r>
        <w:rPr>
          <w:rFonts w:hint="eastAsia" w:ascii="仿宋_GB2312" w:eastAsia="仿宋_GB2312" w:cs="Times New Roman"/>
          <w:color w:val="000000"/>
          <w:sz w:val="32"/>
          <w:szCs w:val="32"/>
          <w:u w:val="single"/>
          <w:lang w:val="en-US" w:eastAsia="zh-CN"/>
        </w:rPr>
        <w:t>0</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万元。对差额原因进行说明。</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（3）单位本年度国有资本经营预算财政拨款收入</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Times New Roman"/>
          <w:color w:val="000000"/>
          <w:sz w:val="32"/>
          <w:szCs w:val="32"/>
          <w:u w:val="single"/>
          <w:lang w:val="en-US" w:eastAsia="zh-CN"/>
        </w:rPr>
        <w:t>0</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万元，财政部门拨款对账单</w:t>
      </w:r>
      <w:r>
        <w:rPr>
          <w:rFonts w:hint="eastAsia" w:ascii="仿宋_GB2312" w:eastAsia="仿宋_GB2312" w:cs="Times New Roman"/>
          <w:color w:val="000000"/>
          <w:sz w:val="32"/>
          <w:szCs w:val="32"/>
          <w:u w:val="single"/>
        </w:rPr>
        <w:t> </w:t>
      </w:r>
      <w:r>
        <w:rPr>
          <w:rFonts w:hint="eastAsia" w:ascii="仿宋_GB2312" w:eastAsia="仿宋_GB2312" w:cs="Times New Roman"/>
          <w:color w:val="000000"/>
          <w:sz w:val="32"/>
          <w:szCs w:val="32"/>
          <w:u w:val="single"/>
          <w:lang w:val="en-US" w:eastAsia="zh-CN"/>
        </w:rPr>
        <w:t>0</w:t>
      </w:r>
      <w:r>
        <w:rPr>
          <w:rFonts w:hint="eastAsia" w:ascii="宋体" w:hAnsi="宋体" w:cs="宋体"/>
          <w:color w:val="000000"/>
          <w:sz w:val="32"/>
          <w:szCs w:val="32"/>
          <w:u w:val="single"/>
        </w:rPr>
        <w:t> </w:t>
      </w:r>
      <w:r>
        <w:rPr>
          <w:rFonts w:hint="eastAsia" w:ascii="仿宋_GB2312" w:hAnsi="仿宋" w:eastAsia="仿宋_GB2312" w:cs="仿宋"/>
          <w:color w:val="000000"/>
          <w:sz w:val="32"/>
          <w:szCs w:val="32"/>
        </w:rPr>
        <w:t>万元，差额</w:t>
      </w:r>
      <w:r>
        <w:rPr>
          <w:rFonts w:hint="eastAsia" w:ascii="仿宋_GB2312" w:hAnsi="仿宋" w:eastAsia="仿宋_GB2312" w:cs="仿宋"/>
          <w:color w:val="000000"/>
          <w:sz w:val="32"/>
          <w:szCs w:val="32"/>
          <w:lang w:val="en-US" w:eastAsia="zh-CN"/>
        </w:rPr>
        <w:t>0</w:t>
      </w:r>
      <w:r>
        <w:rPr>
          <w:rFonts w:hint="eastAsia" w:ascii="仿宋_GB2312" w:eastAsia="仿宋_GB2312" w:cs="Times New Roman"/>
          <w:color w:val="000000"/>
          <w:sz w:val="32"/>
          <w:szCs w:val="32"/>
          <w:u w:val="single"/>
        </w:rPr>
        <w:t> </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万元。对差额原因进行说明。</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2．其他需要说明的情况。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（二）与上年指标核对情况。</w:t>
      </w:r>
    </w:p>
    <w:p>
      <w:pPr>
        <w:widowControl w:val="0"/>
        <w:numPr>
          <w:ilvl w:val="0"/>
          <w:numId w:val="0"/>
        </w:numPr>
        <w:jc w:val="both"/>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rPr>
        <w:t>1．全口径、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公共预算财政拨款和政府性基金预算财政拨款的结转和结余资金本年年初数与上年年末数不一致</w:t>
      </w:r>
      <w:r>
        <w:rPr>
          <w:rFonts w:hint="eastAsia" w:ascii="仿宋_GB2312" w:hAnsi="仿宋" w:eastAsia="仿宋_GB2312" w:cs="仿宋"/>
          <w:color w:val="000000"/>
          <w:sz w:val="32"/>
          <w:szCs w:val="32"/>
          <w:lang w:eastAsia="zh-CN"/>
        </w:rPr>
        <w:t>，如下表（附表</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lang w:eastAsia="zh-CN"/>
        </w:rPr>
        <w:t>）所示：</w:t>
      </w:r>
      <w:r>
        <w:rPr>
          <w:rFonts w:hint="eastAsia" w:ascii="仿宋_GB2312" w:hAnsi="仿宋" w:eastAsia="仿宋_GB2312" w:cs="仿宋"/>
          <w:color w:val="000000"/>
          <w:sz w:val="32"/>
          <w:szCs w:val="32"/>
          <w:lang w:val="en-US" w:eastAsia="zh-CN"/>
        </w:rPr>
        <w:t>2021年属于零基预算改革单位，上年结余结转被财政收回。</w:t>
      </w:r>
    </w:p>
    <w:p>
      <w:r>
        <w:drawing>
          <wp:inline distT="0" distB="0" distL="114300" distR="114300">
            <wp:extent cx="5271135" cy="3417570"/>
            <wp:effectExtent l="0" t="0" r="5715" b="1143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5"/>
                    <a:stretch>
                      <a:fillRect/>
                    </a:stretch>
                  </pic:blipFill>
                  <pic:spPr>
                    <a:xfrm>
                      <a:off x="0" y="0"/>
                      <a:ext cx="5271135" cy="3417570"/>
                    </a:xfrm>
                    <a:prstGeom prst="rect">
                      <a:avLst/>
                    </a:prstGeom>
                    <a:noFill/>
                    <a:ln w="9525">
                      <a:noFill/>
                    </a:ln>
                  </pic:spPr>
                </pic:pic>
              </a:graphicData>
            </a:graphic>
          </wp:inline>
        </w:drawing>
      </w:r>
    </w:p>
    <w:p>
      <w:pPr>
        <w:rPr>
          <w:rFonts w:hint="eastAsia"/>
        </w:rPr>
      </w:pPr>
    </w:p>
    <w:p>
      <w:pPr>
        <w:numPr>
          <w:ilvl w:val="0"/>
          <w:numId w:val="1"/>
        </w:num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主要指标上下年变动幅度超过20%，其中机构人员指标上下年有变动的，原因</w:t>
      </w:r>
      <w:r>
        <w:rPr>
          <w:rFonts w:hint="eastAsia" w:ascii="仿宋_GB2312" w:hAnsi="仿宋" w:eastAsia="仿宋_GB2312" w:cs="仿宋"/>
          <w:color w:val="000000"/>
          <w:sz w:val="32"/>
          <w:szCs w:val="32"/>
          <w:lang w:eastAsia="zh-CN"/>
        </w:rPr>
        <w:t>如下表</w:t>
      </w:r>
      <w:r>
        <w:rPr>
          <w:rFonts w:hint="eastAsia" w:ascii="仿宋_GB2312" w:hAnsi="仿宋" w:eastAsia="仿宋_GB2312" w:cs="仿宋"/>
          <w:color w:val="000000"/>
          <w:sz w:val="32"/>
          <w:szCs w:val="32"/>
        </w:rPr>
        <w:t>（附表</w:t>
      </w:r>
      <w:r>
        <w:rPr>
          <w:rFonts w:hint="eastAsia" w:ascii="仿宋_GB2312" w:hAnsi="仿宋" w:eastAsia="仿宋_GB2312" w:cs="仿宋"/>
          <w:bCs/>
          <w:color w:val="000000"/>
          <w:sz w:val="32"/>
          <w:szCs w:val="32"/>
        </w:rPr>
        <w:t>2</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w:t>
      </w:r>
    </w:p>
    <w:p>
      <w:pPr>
        <w:numPr>
          <w:ilvl w:val="0"/>
          <w:numId w:val="0"/>
        </w:numPr>
        <w:rPr>
          <w:rFonts w:hint="eastAsia" w:ascii="仿宋_GB2312" w:hAnsi="仿宋" w:eastAsia="仿宋_GB2312" w:cs="仿宋"/>
          <w:color w:val="000000"/>
          <w:sz w:val="32"/>
          <w:szCs w:val="32"/>
        </w:rPr>
      </w:pPr>
      <w:r>
        <w:drawing>
          <wp:inline distT="0" distB="0" distL="114300" distR="114300">
            <wp:extent cx="5273675" cy="6761480"/>
            <wp:effectExtent l="0" t="0" r="3175" b="127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6"/>
                    <a:stretch>
                      <a:fillRect/>
                    </a:stretch>
                  </pic:blipFill>
                  <pic:spPr>
                    <a:xfrm>
                      <a:off x="0" y="0"/>
                      <a:ext cx="5273675" cy="6761480"/>
                    </a:xfrm>
                    <a:prstGeom prst="rect">
                      <a:avLst/>
                    </a:prstGeom>
                    <a:noFill/>
                    <a:ln w="9525">
                      <a:noFill/>
                    </a:ln>
                  </pic:spPr>
                </pic:pic>
              </a:graphicData>
            </a:graphic>
          </wp:inline>
        </w:drawing>
      </w:r>
    </w:p>
    <w:p>
      <w:pPr>
        <w:ind w:firstLine="709"/>
        <w:rPr>
          <w:rFonts w:ascii="黑体" w:hAnsi="黑体" w:eastAsia="黑体" w:cs="黑体"/>
          <w:color w:val="000000"/>
          <w:sz w:val="32"/>
          <w:szCs w:val="32"/>
        </w:rPr>
      </w:pPr>
      <w:r>
        <w:rPr>
          <w:rFonts w:hint="eastAsia" w:ascii="仿宋_GB2312" w:eastAsia="仿宋_GB2312" w:cs="Times New Roman"/>
          <w:color w:val="000000"/>
          <w:sz w:val="32"/>
          <w:szCs w:val="32"/>
        </w:rPr>
        <w:t> </w:t>
      </w:r>
      <w:r>
        <w:rPr>
          <w:rFonts w:hint="eastAsia" w:ascii="黑体" w:hAnsi="黑体" w:eastAsia="黑体" w:cs="黑体"/>
          <w:color w:val="000000"/>
          <w:sz w:val="32"/>
          <w:szCs w:val="32"/>
        </w:rPr>
        <w:t>四、报表审核情况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（一）审核情况。</w:t>
      </w:r>
    </w:p>
    <w:p>
      <w:pPr>
        <w:ind w:firstLine="709"/>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1．审核公式。</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审核公式共提示</w:t>
      </w: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rPr>
        <w:t>条。</w:t>
      </w:r>
      <w:r>
        <w:rPr>
          <w:rFonts w:hint="eastAsia" w:ascii="仿宋_GB2312" w:hAnsi="仿宋" w:eastAsia="仿宋_GB2312" w:cs="仿宋"/>
          <w:color w:val="000000"/>
          <w:sz w:val="32"/>
          <w:szCs w:val="32"/>
          <w:lang w:eastAsia="zh-CN"/>
        </w:rPr>
        <w:t>其中</w:t>
      </w:r>
      <w:r>
        <w:rPr>
          <w:rFonts w:hint="eastAsia" w:ascii="仿宋_GB2312" w:hAnsi="仿宋" w:eastAsia="仿宋_GB2312" w:cs="仿宋"/>
          <w:b w:val="0"/>
          <w:bCs w:val="0"/>
          <w:color w:val="000000"/>
          <w:sz w:val="32"/>
          <w:szCs w:val="32"/>
        </w:rPr>
        <w:t>表间公式共</w:t>
      </w:r>
      <w:r>
        <w:rPr>
          <w:rFonts w:hint="eastAsia" w:ascii="仿宋_GB2312" w:hAnsi="仿宋" w:eastAsia="仿宋_GB2312" w:cs="仿宋"/>
          <w:b w:val="0"/>
          <w:bCs w:val="0"/>
          <w:color w:val="000000"/>
          <w:sz w:val="32"/>
          <w:szCs w:val="32"/>
          <w:lang w:val="en-US" w:eastAsia="zh-CN"/>
        </w:rPr>
        <w:t>0</w:t>
      </w:r>
      <w:r>
        <w:rPr>
          <w:rFonts w:hint="eastAsia" w:ascii="仿宋_GB2312" w:hAnsi="仿宋" w:eastAsia="仿宋_GB2312" w:cs="仿宋"/>
          <w:b w:val="0"/>
          <w:bCs w:val="0"/>
          <w:color w:val="000000"/>
          <w:sz w:val="32"/>
          <w:szCs w:val="32"/>
        </w:rPr>
        <w:t>条</w:t>
      </w:r>
      <w:r>
        <w:rPr>
          <w:rFonts w:hint="eastAsia" w:ascii="仿宋_GB2312" w:hAnsi="仿宋" w:eastAsia="仿宋_GB2312" w:cs="仿宋"/>
          <w:b w:val="0"/>
          <w:bCs w:val="0"/>
          <w:color w:val="000000"/>
          <w:sz w:val="32"/>
          <w:szCs w:val="32"/>
          <w:lang w:eastAsia="zh-CN"/>
        </w:rPr>
        <w:t>，</w:t>
      </w:r>
      <w:r>
        <w:rPr>
          <w:rFonts w:hint="eastAsia" w:ascii="仿宋_GB2312" w:hAnsi="仿宋" w:eastAsia="仿宋_GB2312" w:cs="仿宋"/>
          <w:b w:val="0"/>
          <w:bCs w:val="0"/>
          <w:color w:val="000000"/>
          <w:sz w:val="32"/>
          <w:szCs w:val="32"/>
        </w:rPr>
        <w:t>表内公式共</w:t>
      </w:r>
      <w:r>
        <w:rPr>
          <w:rFonts w:hint="eastAsia" w:ascii="仿宋_GB2312" w:hAnsi="仿宋" w:eastAsia="仿宋_GB2312" w:cs="仿宋"/>
          <w:b w:val="0"/>
          <w:bCs w:val="0"/>
          <w:color w:val="000000"/>
          <w:sz w:val="32"/>
          <w:szCs w:val="32"/>
          <w:lang w:val="en-US" w:eastAsia="zh-CN"/>
        </w:rPr>
        <w:t>3</w:t>
      </w:r>
      <w:r>
        <w:rPr>
          <w:rFonts w:hint="eastAsia" w:ascii="仿宋_GB2312" w:hAnsi="仿宋" w:eastAsia="仿宋_GB2312" w:cs="仿宋"/>
          <w:b w:val="0"/>
          <w:bCs w:val="0"/>
          <w:color w:val="000000"/>
          <w:sz w:val="32"/>
          <w:szCs w:val="32"/>
        </w:rPr>
        <w:t>条</w:t>
      </w:r>
      <w:r>
        <w:rPr>
          <w:rFonts w:hint="eastAsia" w:ascii="仿宋_GB2312" w:hAnsi="仿宋" w:eastAsia="仿宋_GB2312" w:cs="仿宋"/>
          <w:b w:val="0"/>
          <w:bCs w:val="0"/>
          <w:color w:val="000000"/>
          <w:sz w:val="32"/>
          <w:szCs w:val="32"/>
          <w:lang w:eastAsia="zh-CN"/>
        </w:rPr>
        <w:t>。</w:t>
      </w:r>
      <w:r>
        <w:rPr>
          <w:rFonts w:hint="eastAsia" w:ascii="仿宋_GB2312" w:hAnsi="仿宋" w:eastAsia="仿宋_GB2312" w:cs="仿宋"/>
          <w:color w:val="000000"/>
          <w:sz w:val="32"/>
          <w:szCs w:val="32"/>
          <w:lang w:eastAsia="zh-CN"/>
        </w:rPr>
        <w:t>提示内容及保留原因如下表（附表</w:t>
      </w: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lang w:eastAsia="zh-CN"/>
        </w:rPr>
        <w:t>：</w:t>
      </w:r>
    </w:p>
    <w:p>
      <w:pPr>
        <w:ind w:firstLine="709"/>
        <w:rPr>
          <w:rFonts w:ascii="仿宋_GB2312" w:hAnsi="仿宋" w:eastAsia="仿宋_GB2312" w:cs="仿宋"/>
          <w:b/>
          <w:bCs/>
          <w:color w:val="000000"/>
          <w:sz w:val="32"/>
          <w:szCs w:val="32"/>
        </w:rPr>
      </w:pPr>
      <w:r>
        <w:drawing>
          <wp:inline distT="0" distB="0" distL="114300" distR="114300">
            <wp:extent cx="5273675" cy="2688590"/>
            <wp:effectExtent l="0" t="0" r="3175" b="1651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7"/>
                    <a:stretch>
                      <a:fillRect/>
                    </a:stretch>
                  </pic:blipFill>
                  <pic:spPr>
                    <a:xfrm>
                      <a:off x="0" y="0"/>
                      <a:ext cx="5273675" cy="2688590"/>
                    </a:xfrm>
                    <a:prstGeom prst="rect">
                      <a:avLst/>
                    </a:prstGeom>
                    <a:noFill/>
                    <a:ln w="9525">
                      <a:noFill/>
                    </a:ln>
                  </pic:spPr>
                </pic:pic>
              </a:graphicData>
            </a:graphic>
          </wp:inline>
        </w:drawing>
      </w:r>
    </w:p>
    <w:p>
      <w:pPr>
        <w:ind w:firstLine="643" w:firstLineChars="200"/>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2．审核模板。</w:t>
      </w:r>
    </w:p>
    <w:p>
      <w:pPr>
        <w:ind w:firstLine="709"/>
        <w:rPr>
          <w:rFonts w:hint="eastAsia" w:ascii="楷体_GB2312" w:hAnsi="仿宋" w:eastAsia="楷体_GB2312" w:cs="仿宋"/>
          <w:b/>
          <w:sz w:val="32"/>
          <w:szCs w:val="32"/>
          <w:lang w:eastAsia="zh-CN"/>
        </w:rPr>
      </w:pPr>
      <w:r>
        <w:rPr>
          <w:rFonts w:hint="eastAsia" w:ascii="楷体_GB2312" w:hAnsi="仿宋" w:eastAsia="楷体_GB2312" w:cs="仿宋"/>
          <w:b/>
          <w:sz w:val="32"/>
          <w:szCs w:val="32"/>
          <w:lang w:eastAsia="zh-CN"/>
        </w:rPr>
        <w:t>无</w:t>
      </w:r>
    </w:p>
    <w:p>
      <w:pPr>
        <w:ind w:firstLine="709"/>
        <w:rPr>
          <w:rFonts w:ascii="楷体_GB2312" w:hAnsi="Times New Roman" w:eastAsia="楷体_GB2312" w:cs="Times New Roman"/>
          <w:b/>
          <w:sz w:val="32"/>
          <w:szCs w:val="32"/>
        </w:rPr>
      </w:pPr>
      <w:r>
        <w:rPr>
          <w:rFonts w:hint="eastAsia" w:ascii="楷体_GB2312" w:hAnsi="仿宋" w:eastAsia="楷体_GB2312" w:cs="仿宋"/>
          <w:b/>
          <w:sz w:val="32"/>
          <w:szCs w:val="32"/>
        </w:rPr>
        <w:t>（二）对报表指标、审核公式和审核模板的设置建议。</w:t>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t>1.对部门决算报表指标设置的建议。</w:t>
      </w:r>
    </w:p>
    <w:p>
      <w:pPr>
        <w:ind w:firstLine="70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无</w:t>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t>2.如有不适用的审核公式和模板，请列出并说明修改意见。</w:t>
      </w:r>
    </w:p>
    <w:p>
      <w:pPr>
        <w:ind w:firstLine="70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无</w:t>
      </w:r>
    </w:p>
    <w:p>
      <w:pPr>
        <w:numPr>
          <w:ilvl w:val="0"/>
          <w:numId w:val="1"/>
        </w:numPr>
        <w:ind w:left="0" w:leftChars="0" w:firstLine="709" w:firstLineChars="0"/>
        <w:rPr>
          <w:rFonts w:hint="eastAsia" w:ascii="仿宋_GB2312" w:hAnsi="仿宋" w:eastAsia="仿宋_GB2312" w:cs="仿宋"/>
          <w:sz w:val="32"/>
          <w:szCs w:val="32"/>
        </w:rPr>
      </w:pPr>
      <w:r>
        <w:rPr>
          <w:rFonts w:hint="eastAsia" w:ascii="仿宋_GB2312" w:hAnsi="仿宋" w:eastAsia="仿宋_GB2312" w:cs="仿宋"/>
          <w:sz w:val="32"/>
          <w:szCs w:val="32"/>
        </w:rPr>
        <w:t>单位自行增加的审核公式和模板，请列出并说明设置依据。</w:t>
      </w:r>
    </w:p>
    <w:p>
      <w:pPr>
        <w:numPr>
          <w:ilvl w:val="0"/>
          <w:numId w:val="0"/>
        </w:numPr>
        <w:ind w:left="709" w:leftChars="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无</w:t>
      </w:r>
    </w:p>
    <w:p>
      <w:pPr>
        <w:ind w:firstLine="709"/>
        <w:rPr>
          <w:rFonts w:ascii="黑体" w:hAnsi="黑体" w:eastAsia="黑体" w:cs="Times New Roman"/>
          <w:sz w:val="32"/>
          <w:szCs w:val="32"/>
        </w:rPr>
      </w:pPr>
      <w:r>
        <w:rPr>
          <w:rFonts w:hint="eastAsia" w:ascii="黑体" w:hAnsi="黑体" w:eastAsia="黑体" w:cs="黑体"/>
          <w:sz w:val="32"/>
          <w:szCs w:val="32"/>
        </w:rPr>
        <w:t>五、决算数据其他需要说明的情况</w:t>
      </w:r>
    </w:p>
    <w:p>
      <w:pPr>
        <w:ind w:firstLine="709"/>
        <w:rPr>
          <w:rFonts w:hint="eastAsia" w:ascii="仿宋_GB2312" w:hAnsi="仿宋" w:eastAsia="仿宋_GB2312" w:cs="仿宋"/>
          <w:sz w:val="32"/>
          <w:szCs w:val="32"/>
          <w:lang w:eastAsia="zh-CN"/>
        </w:rPr>
      </w:pPr>
      <w:r>
        <w:rPr>
          <w:rFonts w:hint="eastAsia" w:ascii="仿宋_GB2312" w:hAnsi="仿宋" w:eastAsia="仿宋_GB2312" w:cs="仿宋"/>
          <w:sz w:val="32"/>
          <w:szCs w:val="32"/>
        </w:rPr>
        <w:t>1．“收入决算表”中</w:t>
      </w:r>
      <w:r>
        <w:rPr>
          <w:rFonts w:hint="eastAsia" w:ascii="仿宋_GB2312" w:hAnsi="仿宋" w:eastAsia="仿宋_GB2312" w:cs="仿宋"/>
          <w:spacing w:val="6"/>
          <w:sz w:val="32"/>
          <w:szCs w:val="32"/>
        </w:rPr>
        <w:t>其他收入的具体构成情况，</w:t>
      </w:r>
      <w:r>
        <w:rPr>
          <w:rFonts w:hint="eastAsia" w:ascii="仿宋_GB2312" w:hAnsi="仿宋" w:eastAsia="仿宋_GB2312" w:cs="仿宋"/>
          <w:spacing w:val="6"/>
          <w:sz w:val="32"/>
          <w:szCs w:val="32"/>
          <w:lang w:eastAsia="zh-CN"/>
        </w:rPr>
        <w:t>如下表所示</w:t>
      </w:r>
      <w:r>
        <w:rPr>
          <w:rFonts w:hint="eastAsia" w:ascii="仿宋_GB2312" w:hAnsi="仿宋" w:eastAsia="仿宋_GB2312" w:cs="仿宋"/>
          <w:sz w:val="32"/>
          <w:szCs w:val="32"/>
        </w:rPr>
        <w:t>（附表</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w:t>
      </w:r>
    </w:p>
    <w:p>
      <w:pPr>
        <w:ind w:firstLine="709"/>
        <w:rPr>
          <w:rFonts w:hint="eastAsia" w:ascii="仿宋_GB2312" w:hAnsi="仿宋" w:eastAsia="仿宋_GB2312" w:cs="仿宋"/>
          <w:sz w:val="32"/>
          <w:szCs w:val="32"/>
        </w:rPr>
      </w:pPr>
      <w:r>
        <w:drawing>
          <wp:inline distT="0" distB="0" distL="114300" distR="114300">
            <wp:extent cx="5272405" cy="5704840"/>
            <wp:effectExtent l="0" t="0" r="4445" b="1016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8"/>
                    <a:stretch>
                      <a:fillRect/>
                    </a:stretch>
                  </pic:blipFill>
                  <pic:spPr>
                    <a:xfrm>
                      <a:off x="0" y="0"/>
                      <a:ext cx="5272405" cy="5704840"/>
                    </a:xfrm>
                    <a:prstGeom prst="rect">
                      <a:avLst/>
                    </a:prstGeom>
                    <a:noFill/>
                    <a:ln w="9525">
                      <a:noFill/>
                    </a:ln>
                  </pic:spPr>
                </pic:pic>
              </a:graphicData>
            </a:graphic>
          </wp:inline>
        </w:drawing>
      </w:r>
    </w:p>
    <w:p>
      <w:pPr>
        <w:ind w:firstLine="709"/>
        <w:rPr>
          <w:rFonts w:ascii="仿宋_GB2312" w:hAnsi="仿宋" w:eastAsia="仿宋_GB2312" w:cs="仿宋"/>
          <w:sz w:val="32"/>
          <w:szCs w:val="32"/>
        </w:rPr>
      </w:pPr>
      <w:r>
        <w:rPr>
          <w:rFonts w:hint="eastAsia" w:ascii="仿宋_GB2312" w:hAnsi="仿宋" w:eastAsia="仿宋_GB2312" w:cs="仿宋"/>
          <w:sz w:val="32"/>
          <w:szCs w:val="32"/>
        </w:rPr>
        <w:t>2.年末结转结余扣除经营亏损后如为负数，按资金性质分别</w:t>
      </w:r>
      <w:r>
        <w:rPr>
          <w:rFonts w:hint="eastAsia" w:ascii="仿宋_GB2312" w:hAnsi="仿宋" w:eastAsia="仿宋_GB2312" w:cs="仿宋"/>
          <w:color w:val="000000"/>
          <w:sz w:val="32"/>
          <w:szCs w:val="32"/>
        </w:rPr>
        <w:t>说明情况。</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3．“项目支出决算明细表”中列支“工资福利支出”和“对个人和家庭的补助”的依据及说明。</w:t>
      </w:r>
    </w:p>
    <w:p>
      <w:pPr>
        <w:ind w:firstLine="709"/>
        <w:rPr>
          <w:rFonts w:ascii="仿宋_GB2312" w:hAnsi="仿宋" w:eastAsia="仿宋_GB2312" w:cs="Times New Roman"/>
          <w:color w:val="FF0000"/>
          <w:sz w:val="32"/>
          <w:szCs w:val="32"/>
        </w:rPr>
      </w:pPr>
      <w:r>
        <w:rPr>
          <w:rFonts w:hint="eastAsia" w:ascii="仿宋_GB2312" w:hAnsi="仿宋" w:eastAsia="仿宋_GB2312" w:cs="仿宋"/>
          <w:color w:val="000000"/>
          <w:sz w:val="32"/>
          <w:szCs w:val="32"/>
        </w:rPr>
        <w:t>4.“三公”经费总额</w:t>
      </w:r>
      <w:r>
        <w:rPr>
          <w:rFonts w:hint="eastAsia" w:ascii="仿宋_GB2312" w:hAnsi="仿宋" w:eastAsia="仿宋_GB2312" w:cs="仿宋"/>
          <w:color w:val="000000"/>
          <w:sz w:val="32"/>
          <w:szCs w:val="32"/>
          <w:lang w:eastAsia="zh-CN"/>
        </w:rPr>
        <w:t>为</w:t>
      </w:r>
      <w:r>
        <w:rPr>
          <w:rFonts w:hint="eastAsia" w:ascii="仿宋_GB2312" w:hAnsi="仿宋" w:eastAsia="仿宋_GB2312" w:cs="仿宋"/>
          <w:color w:val="000000"/>
          <w:sz w:val="32"/>
          <w:szCs w:val="32"/>
          <w:lang w:val="en-US" w:eastAsia="zh-CN"/>
        </w:rPr>
        <w:t>0元，</w:t>
      </w:r>
      <w:r>
        <w:rPr>
          <w:rFonts w:hint="eastAsia" w:ascii="仿宋_GB2312" w:hAnsi="仿宋" w:eastAsia="仿宋_GB2312" w:cs="仿宋"/>
          <w:color w:val="000000"/>
          <w:sz w:val="32"/>
          <w:szCs w:val="32"/>
        </w:rPr>
        <w:t>与年初预算数、上年决算数对比变动的原因</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2021年实际未发生三公经费支出</w:t>
      </w:r>
      <w:r>
        <w:rPr>
          <w:rFonts w:hint="eastAsia" w:ascii="仿宋_GB2312" w:hAnsi="仿宋" w:eastAsia="仿宋_GB2312" w:cs="仿宋"/>
          <w:color w:val="000000"/>
          <w:sz w:val="32"/>
          <w:szCs w:val="32"/>
        </w:rPr>
        <w:t>。</w:t>
      </w:r>
    </w:p>
    <w:p>
      <w:pPr>
        <w:ind w:firstLine="709"/>
        <w:rPr>
          <w:rFonts w:ascii="仿宋_GB2312" w:hAnsi="仿宋" w:eastAsia="仿宋_GB2312" w:cs="仿宋"/>
          <w:bCs/>
          <w:sz w:val="32"/>
          <w:szCs w:val="32"/>
        </w:rPr>
      </w:pPr>
      <w:r>
        <w:rPr>
          <w:rFonts w:hint="eastAsia" w:ascii="仿宋_GB2312" w:hAnsi="仿宋" w:eastAsia="仿宋_GB2312" w:cs="仿宋"/>
          <w:bCs/>
          <w:color w:val="000000"/>
          <w:sz w:val="32"/>
          <w:szCs w:val="32"/>
        </w:rPr>
        <w:t>5.行</w:t>
      </w:r>
      <w:r>
        <w:rPr>
          <w:rFonts w:hint="eastAsia" w:ascii="仿宋_GB2312" w:hAnsi="仿宋" w:eastAsia="仿宋_GB2312" w:cs="仿宋"/>
          <w:bCs/>
          <w:sz w:val="32"/>
          <w:szCs w:val="32"/>
        </w:rPr>
        <w:t>政单位、参照公务员法管理的事业单位机关运行经费支出情况，以及与上年数对比变动原因说明。</w:t>
      </w:r>
    </w:p>
    <w:p>
      <w:pPr>
        <w:ind w:firstLine="709"/>
        <w:rPr>
          <w:rFonts w:ascii="仿宋_GB2312" w:hAnsi="仿宋" w:eastAsia="仿宋_GB2312" w:cs="仿宋"/>
          <w:sz w:val="32"/>
          <w:szCs w:val="32"/>
        </w:rPr>
      </w:pPr>
      <w:r>
        <w:rPr>
          <w:rFonts w:hint="eastAsia" w:ascii="仿宋_GB2312" w:hAnsi="仿宋" w:eastAsia="仿宋_GB2312" w:cs="仿宋"/>
          <w:bCs/>
          <w:sz w:val="32"/>
          <w:szCs w:val="32"/>
        </w:rPr>
        <w:t>6.政府采购支出</w:t>
      </w:r>
      <w:r>
        <w:rPr>
          <w:rFonts w:hint="eastAsia" w:ascii="仿宋_GB2312" w:hAnsi="仿宋" w:eastAsia="仿宋_GB2312" w:cs="仿宋"/>
          <w:bCs/>
          <w:sz w:val="32"/>
          <w:szCs w:val="32"/>
          <w:lang w:val="en-US" w:eastAsia="zh-CN"/>
        </w:rPr>
        <w:t>33392.97元</w:t>
      </w:r>
      <w:r>
        <w:rPr>
          <w:rFonts w:hint="eastAsia" w:ascii="仿宋_GB2312" w:hAnsi="仿宋" w:eastAsia="仿宋_GB2312" w:cs="仿宋"/>
          <w:bCs/>
          <w:sz w:val="32"/>
          <w:szCs w:val="32"/>
        </w:rPr>
        <w:t>，</w:t>
      </w:r>
      <w:r>
        <w:rPr>
          <w:rFonts w:hint="eastAsia" w:ascii="仿宋_GB2312" w:hAnsi="仿宋" w:eastAsia="仿宋_GB2312" w:cs="仿宋"/>
          <w:bCs/>
          <w:sz w:val="32"/>
          <w:szCs w:val="32"/>
          <w:lang w:eastAsia="zh-CN"/>
        </w:rPr>
        <w:t>主要用于办公设备采购</w:t>
      </w:r>
      <w:r>
        <w:rPr>
          <w:rFonts w:hint="eastAsia" w:ascii="仿宋_GB2312" w:hAnsi="仿宋" w:eastAsia="仿宋_GB2312" w:cs="仿宋"/>
          <w:bCs/>
          <w:sz w:val="32"/>
          <w:szCs w:val="32"/>
        </w:rPr>
        <w:t>。</w:t>
      </w:r>
    </w:p>
    <w:p>
      <w:pPr>
        <w:ind w:firstLine="709"/>
        <w:rPr>
          <w:rFonts w:ascii="仿宋_GB2312" w:hAnsi="仿宋" w:eastAsia="仿宋_GB2312" w:cs="仿宋"/>
          <w:bCs/>
          <w:sz w:val="32"/>
          <w:szCs w:val="32"/>
        </w:rPr>
      </w:pPr>
      <w:r>
        <w:rPr>
          <w:rFonts w:hint="eastAsia" w:ascii="仿宋_GB2312" w:hAnsi="仿宋" w:eastAsia="仿宋_GB2312" w:cs="仿宋"/>
          <w:bCs/>
          <w:sz w:val="32"/>
          <w:szCs w:val="32"/>
        </w:rPr>
        <w:t>7.中央单位财政拨款结转和结余情况（附表4）。</w:t>
      </w:r>
    </w:p>
    <w:p>
      <w:pPr>
        <w:ind w:firstLine="709"/>
        <w:rPr>
          <w:rFonts w:ascii="仿宋_GB2312" w:hAnsi="仿宋" w:eastAsia="仿宋_GB2312" w:cs="仿宋"/>
          <w:bCs/>
          <w:sz w:val="32"/>
          <w:szCs w:val="32"/>
        </w:rPr>
      </w:pPr>
      <w:r>
        <w:rPr>
          <w:rFonts w:hint="eastAsia" w:ascii="仿宋_GB2312" w:hAnsi="仿宋" w:eastAsia="仿宋_GB2312" w:cs="仿宋"/>
          <w:bCs/>
          <w:sz w:val="32"/>
          <w:szCs w:val="32"/>
        </w:rPr>
        <w:t>8.中央单位驻外机构有关情况（附表5、6）。</w:t>
      </w:r>
    </w:p>
    <w:p>
      <w:pPr>
        <w:ind w:firstLine="709"/>
        <w:rPr>
          <w:rFonts w:ascii="仿宋_GB2312" w:hAnsi="仿宋" w:eastAsia="仿宋_GB2312" w:cs="仿宋"/>
          <w:color w:val="000000"/>
          <w:sz w:val="32"/>
          <w:szCs w:val="32"/>
        </w:rPr>
      </w:pPr>
      <w:r>
        <w:rPr>
          <w:rFonts w:hint="eastAsia" w:ascii="仿宋_GB2312" w:hAnsi="仿宋" w:eastAsia="仿宋_GB2312" w:cs="仿宋"/>
          <w:bCs/>
          <w:sz w:val="32"/>
          <w:szCs w:val="32"/>
        </w:rPr>
        <w:t>9.“收入支出决算总表”中如调</w:t>
      </w:r>
      <w:r>
        <w:rPr>
          <w:rFonts w:hint="eastAsia" w:ascii="仿宋_GB2312" w:hAnsi="仿宋" w:eastAsia="仿宋_GB2312" w:cs="仿宋"/>
          <w:bCs/>
          <w:color w:val="000000"/>
          <w:sz w:val="32"/>
          <w:szCs w:val="32"/>
        </w:rPr>
        <w:t>整预算数大于年初预算数，</w:t>
      </w:r>
      <w:r>
        <w:rPr>
          <w:rFonts w:hint="eastAsia" w:ascii="仿宋_GB2312" w:hAnsi="仿宋" w:eastAsia="仿宋_GB2312" w:cs="仿宋"/>
          <w:color w:val="000000"/>
          <w:sz w:val="32"/>
          <w:szCs w:val="32"/>
        </w:rPr>
        <w:t>说明单位财政拨款预算和非财政拨款预算调整情况以及经审批或备案的文件依据。</w:t>
      </w:r>
    </w:p>
    <w:p>
      <w:pPr>
        <w:ind w:firstLine="709"/>
        <w:rPr>
          <w:rFonts w:ascii="仿宋_GB2312" w:hAnsi="仿宋" w:eastAsia="仿宋_GB2312" w:cs="仿宋"/>
          <w:bCs/>
          <w:sz w:val="32"/>
          <w:szCs w:val="32"/>
        </w:rPr>
      </w:pPr>
      <w:r>
        <w:rPr>
          <w:rFonts w:hint="eastAsia" w:ascii="仿宋_GB2312" w:hAnsi="仿宋" w:eastAsia="仿宋_GB2312" w:cs="仿宋"/>
          <w:bCs/>
          <w:sz w:val="32"/>
          <w:szCs w:val="32"/>
        </w:rPr>
        <w:t>10.深化党和国家机构改革对决算编报相关方面的影响。(涉及机构改革单位说明)</w:t>
      </w:r>
    </w:p>
    <w:p>
      <w:pPr>
        <w:ind w:firstLine="709"/>
        <w:rPr>
          <w:rFonts w:ascii="仿宋_GB2312" w:hAnsi="仿宋" w:eastAsia="仿宋_GB2312" w:cs="仿宋"/>
          <w:color w:val="000000"/>
          <w:sz w:val="32"/>
          <w:szCs w:val="32"/>
        </w:rPr>
      </w:pPr>
      <w:r>
        <w:rPr>
          <w:rFonts w:hint="eastAsia" w:ascii="仿宋_GB2312" w:hAnsi="仿宋" w:eastAsia="仿宋_GB2312" w:cs="仿宋"/>
          <w:bCs/>
          <w:color w:val="000000"/>
          <w:sz w:val="32"/>
          <w:szCs w:val="32"/>
        </w:rPr>
        <w:t>11.</w:t>
      </w:r>
      <w:r>
        <w:rPr>
          <w:rFonts w:hint="eastAsia" w:ascii="仿宋_GB2312" w:hAnsi="仿宋" w:eastAsia="仿宋_GB2312" w:cs="仿宋"/>
          <w:color w:val="000000"/>
          <w:sz w:val="32"/>
          <w:szCs w:val="32"/>
        </w:rPr>
        <w:t>其他需要说明的问题。</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1</w:t>
    </w:r>
    <w:r>
      <w:rPr>
        <w:rFonts w:ascii="Arial" w:hAnsi="Arial" w:cs="Arial"/>
        <w:sz w:val="24"/>
        <w:szCs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F0CE3"/>
    <w:multiLevelType w:val="singleLevel"/>
    <w:tmpl w:val="EEDF0CE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238B3"/>
    <w:rsid w:val="104C778A"/>
    <w:rsid w:val="19B779A0"/>
    <w:rsid w:val="23DA60BE"/>
    <w:rsid w:val="295238B3"/>
    <w:rsid w:val="2A7635ED"/>
    <w:rsid w:val="2C4B78D0"/>
    <w:rsid w:val="397A6739"/>
    <w:rsid w:val="5B0E500A"/>
    <w:rsid w:val="67227A2D"/>
    <w:rsid w:val="67F5147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2021-01-20T11:45:00Z</dcterms:created>
  <dc:creator>汪</dc:creator>
  <cp:lastModifiedBy>Administrator</cp:lastModifiedBy>
  <dcterms:modified xsi:type="dcterms:W3CDTF">2022-03-21T07:40:46Z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F338E74505984222928A56063F39F0E0</vt:lpwstr>
  </property>
</Properties>
</file>